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B07FA" w14:textId="6FD32BB5" w:rsidR="00504403" w:rsidRPr="000906EA" w:rsidRDefault="00404236" w:rsidP="00F975C1">
      <w:pPr>
        <w:shd w:val="clear" w:color="auto" w:fill="FFFFFF" w:themeFill="background1"/>
        <w:spacing w:after="150" w:line="360" w:lineRule="auto"/>
        <w:contextualSpacing/>
        <w:jc w:val="both"/>
        <w:rPr>
          <w:rFonts w:asciiTheme="majorHAnsi" w:eastAsia="Times New Roman" w:hAnsiTheme="majorHAnsi" w:cs="Arial"/>
          <w:b/>
          <w:bCs/>
          <w:caps/>
          <w:color w:val="000000" w:themeColor="text1"/>
          <w:sz w:val="24"/>
          <w:szCs w:val="24"/>
          <w:lang w:eastAsia="pt-BR"/>
        </w:rPr>
      </w:pPr>
      <w:r w:rsidRPr="000906EA">
        <w:rPr>
          <w:rFonts w:asciiTheme="majorHAnsi" w:eastAsia="Times New Roman" w:hAnsiTheme="majorHAnsi" w:cs="Arial"/>
          <w:b/>
          <w:bCs/>
          <w:caps/>
          <w:color w:val="000000" w:themeColor="text1"/>
          <w:sz w:val="24"/>
          <w:szCs w:val="24"/>
          <w:lang w:eastAsia="pt-BR"/>
        </w:rPr>
        <w:t>PROJETO</w:t>
      </w:r>
      <w:r w:rsidR="000906EA">
        <w:rPr>
          <w:rFonts w:asciiTheme="majorHAnsi" w:eastAsia="Times New Roman" w:hAnsiTheme="majorHAnsi" w:cs="Arial"/>
          <w:b/>
          <w:bCs/>
          <w:caps/>
          <w:color w:val="000000" w:themeColor="text1"/>
          <w:sz w:val="24"/>
          <w:szCs w:val="24"/>
          <w:lang w:eastAsia="pt-BR"/>
        </w:rPr>
        <w:t xml:space="preserve"> DE LEI ORDINÁRIA Nº _____ DE 28</w:t>
      </w:r>
      <w:r w:rsidRPr="000906EA">
        <w:rPr>
          <w:rFonts w:asciiTheme="majorHAnsi" w:eastAsia="Times New Roman" w:hAnsiTheme="majorHAnsi" w:cs="Arial"/>
          <w:b/>
          <w:bCs/>
          <w:caps/>
          <w:color w:val="000000" w:themeColor="text1"/>
          <w:sz w:val="24"/>
          <w:szCs w:val="24"/>
          <w:lang w:eastAsia="pt-BR"/>
        </w:rPr>
        <w:t xml:space="preserve"> DE MAIO DE 2020.</w:t>
      </w:r>
    </w:p>
    <w:p w14:paraId="02EDF7B0" w14:textId="12A9F331" w:rsidR="00504403" w:rsidRPr="000906EA" w:rsidRDefault="00504403" w:rsidP="00F975C1">
      <w:pPr>
        <w:shd w:val="clear" w:color="auto" w:fill="FFFFFF" w:themeFill="background1"/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t-BR"/>
        </w:rPr>
      </w:pPr>
    </w:p>
    <w:p w14:paraId="7E43C3B2" w14:textId="1B89B7F6" w:rsidR="00504403" w:rsidRPr="000906EA" w:rsidRDefault="00504403" w:rsidP="00F975C1">
      <w:pPr>
        <w:shd w:val="clear" w:color="auto" w:fill="FFFFFF" w:themeFill="background1"/>
        <w:spacing w:before="300" w:after="300" w:line="360" w:lineRule="auto"/>
        <w:ind w:left="3000" w:right="300"/>
        <w:contextualSpacing/>
        <w:jc w:val="both"/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</w:pPr>
      <w:r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 xml:space="preserve">DISPÕE SOBRE A OBRIGATORIEDADE DAS AGÊNCIAS BANCÁRIAS DE </w:t>
      </w:r>
      <w:r w:rsidR="00915E9D"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CORDEIRÓPOLIS</w:t>
      </w:r>
      <w:r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proofErr w:type="gramStart"/>
      <w:r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DISPONIBILIZAR</w:t>
      </w:r>
      <w:r w:rsidR="004C210A"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EM</w:t>
      </w:r>
      <w:proofErr w:type="gramEnd"/>
      <w:r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 xml:space="preserve"> </w:t>
      </w:r>
      <w:r w:rsidR="004C210A"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HORÁRIO EXCLUSIVO</w:t>
      </w:r>
      <w:r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 xml:space="preserve"> PARA ATENDIMENTO A IDOSOS, GESTANTES E DEFICIENTES FÍSICOS DURANTE O PERÍODO DA PANDEMIA DE COVID-19 (C</w:t>
      </w:r>
      <w:bookmarkStart w:id="0" w:name="_GoBack"/>
      <w:bookmarkEnd w:id="0"/>
      <w:r w:rsidRPr="000906EA">
        <w:rPr>
          <w:rFonts w:asciiTheme="majorHAnsi" w:eastAsia="Times New Roman" w:hAnsiTheme="majorHAnsi" w:cs="Times New Roman"/>
          <w:b/>
          <w:bCs/>
          <w:color w:val="000000" w:themeColor="text1"/>
          <w:kern w:val="36"/>
          <w:sz w:val="24"/>
          <w:szCs w:val="24"/>
          <w:lang w:eastAsia="pt-BR"/>
        </w:rPr>
        <w:t>ORONAVÍRUS) E DÁ OUTRAS PROVIDÊNCIAS.</w:t>
      </w:r>
    </w:p>
    <w:p w14:paraId="08B77CAE" w14:textId="0D63081A" w:rsidR="00404236" w:rsidRPr="000906EA" w:rsidRDefault="00504403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pt-BR"/>
        </w:rPr>
        <w:br/>
      </w:r>
      <w:bookmarkStart w:id="1" w:name="artigo_1"/>
      <w:r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Art. 1º</w:t>
      </w:r>
      <w:bookmarkEnd w:id="1"/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 xml:space="preserve"> Ficam as agências bancárias </w:t>
      </w:r>
      <w:r w:rsidR="00915E9D"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 xml:space="preserve">do Município de Cordeirópolis </w:t>
      </w: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obrigadas a disponibilizar</w:t>
      </w:r>
      <w:r w:rsidR="00915E9D"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em</w:t>
      </w: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4C210A"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horário exclusivo</w:t>
      </w: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 xml:space="preserve"> para atendimento prioritário a idosos, gestantes e deficientes físicos, durante a pandemia do Covid19 (</w:t>
      </w:r>
      <w:proofErr w:type="spellStart"/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Coronavírus</w:t>
      </w:r>
      <w:proofErr w:type="spellEnd"/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).</w:t>
      </w:r>
    </w:p>
    <w:p w14:paraId="0236D0BE" w14:textId="1B8ED8C0" w:rsidR="00404236" w:rsidRPr="000906EA" w:rsidRDefault="00504403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pt-BR"/>
        </w:rPr>
        <w:br/>
      </w:r>
      <w:r w:rsidR="004C210A"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Parágrafo único.</w:t>
      </w: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 xml:space="preserve"> O </w:t>
      </w:r>
      <w:r w:rsidR="004C210A"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atendimento será preferencialmente na primeira hora de expediente bancário.</w:t>
      </w:r>
    </w:p>
    <w:p w14:paraId="4728CAC2" w14:textId="661E1FB1" w:rsidR="00404236" w:rsidRPr="000906EA" w:rsidRDefault="00504403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pt-BR"/>
        </w:rPr>
        <w:br/>
      </w:r>
      <w:bookmarkStart w:id="2" w:name="artigo_3"/>
      <w:r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Art. </w:t>
      </w:r>
      <w:r w:rsidR="004C210A"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2</w:t>
      </w:r>
      <w:r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º</w:t>
      </w:r>
      <w:bookmarkEnd w:id="2"/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 Ficam os bancos também obrigados a orientar as filas de atendimento, conforme critérios de distanciamento social definidos pelo Ministério da Saúde, durante a pandemia</w:t>
      </w:r>
      <w:r w:rsidR="00404236"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</w:t>
      </w: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do Covid-19</w:t>
      </w:r>
      <w:r w:rsidR="004C210A"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.</w:t>
      </w:r>
    </w:p>
    <w:p w14:paraId="02F75D28" w14:textId="77777777" w:rsidR="00915E9D" w:rsidRPr="000906EA" w:rsidRDefault="00915E9D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14:paraId="66BD717D" w14:textId="28C27F94" w:rsidR="00404236" w:rsidRPr="000906EA" w:rsidRDefault="00504403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bookmarkStart w:id="3" w:name="artigo_4"/>
      <w:r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Art. </w:t>
      </w:r>
      <w:r w:rsidR="004C210A"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3</w:t>
      </w:r>
      <w:r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º</w:t>
      </w:r>
      <w:bookmarkEnd w:id="3"/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 O descumprimento desta lei acarretará a aplicação de multa de 100 </w:t>
      </w:r>
      <w:proofErr w:type="spellStart"/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UFESPs</w:t>
      </w:r>
      <w:proofErr w:type="spellEnd"/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 por infração.</w:t>
      </w:r>
    </w:p>
    <w:p w14:paraId="79118B14" w14:textId="77777777" w:rsidR="004C210A" w:rsidRPr="000906EA" w:rsidRDefault="004C210A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</w:p>
    <w:p w14:paraId="0CB7BDD4" w14:textId="012167DA" w:rsidR="00404236" w:rsidRPr="000906EA" w:rsidRDefault="00504403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bookmarkStart w:id="4" w:name="artigo_5"/>
      <w:r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 xml:space="preserve">Art. </w:t>
      </w:r>
      <w:r w:rsidR="004C210A"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4</w:t>
      </w:r>
      <w:r w:rsidRPr="000906EA">
        <w:rPr>
          <w:rFonts w:asciiTheme="majorHAnsi" w:eastAsia="Times New Roman" w:hAnsiTheme="majorHAnsi" w:cs="Calibr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º</w:t>
      </w:r>
      <w:bookmarkEnd w:id="4"/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 w:themeFill="background1"/>
          <w:lang w:eastAsia="pt-BR"/>
        </w:rPr>
        <w:t> </w:t>
      </w: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Esta lei entra em vigor na data de sua publicação, revogando-se as disposições em contrário.</w:t>
      </w:r>
    </w:p>
    <w:p w14:paraId="7FFA2A54" w14:textId="64FDC4D3" w:rsidR="00404236" w:rsidRPr="000906EA" w:rsidRDefault="00504403" w:rsidP="00F975C1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lang w:eastAsia="pt-BR"/>
        </w:rPr>
        <w:br/>
      </w:r>
      <w:r w:rsidR="00CF445E"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Câmara Municipal de Cordeirópolis, 2</w:t>
      </w:r>
      <w:r w:rsidR="00752E55"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8</w:t>
      </w:r>
      <w:r w:rsidR="00CF445E"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de maio de 2020.</w:t>
      </w:r>
    </w:p>
    <w:p w14:paraId="3B36E12F" w14:textId="77777777" w:rsidR="00404236" w:rsidRPr="000906EA" w:rsidRDefault="00504403" w:rsidP="00F975C1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lang w:eastAsia="pt-BR"/>
        </w:rPr>
        <w:br/>
      </w:r>
      <w:r w:rsidR="00CF445E"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Jose </w:t>
      </w:r>
      <w:proofErr w:type="spellStart"/>
      <w:r w:rsidR="00CF445E"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Antonio</w:t>
      </w:r>
      <w:proofErr w:type="spellEnd"/>
      <w:r w:rsidR="00CF445E"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Rodrigues</w:t>
      </w:r>
    </w:p>
    <w:p w14:paraId="4369ADE7" w14:textId="1F759C7D" w:rsidR="002F23F9" w:rsidRPr="000906EA" w:rsidRDefault="00CF445E" w:rsidP="00F975C1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0906EA">
        <w:rPr>
          <w:rFonts w:asciiTheme="majorHAnsi" w:hAnsiTheme="majorHAnsi"/>
          <w:b/>
          <w:color w:val="000000" w:themeColor="text1"/>
          <w:sz w:val="24"/>
          <w:szCs w:val="24"/>
        </w:rPr>
        <w:t xml:space="preserve">Vereador </w:t>
      </w:r>
      <w:r w:rsidR="008D0A46" w:rsidRPr="000906EA">
        <w:rPr>
          <w:rFonts w:asciiTheme="majorHAnsi" w:hAnsiTheme="majorHAnsi"/>
          <w:b/>
          <w:color w:val="000000" w:themeColor="text1"/>
          <w:sz w:val="24"/>
          <w:szCs w:val="24"/>
        </w:rPr>
        <w:t>–</w:t>
      </w:r>
      <w:r w:rsidRPr="000906EA">
        <w:rPr>
          <w:rFonts w:asciiTheme="majorHAnsi" w:hAnsiTheme="majorHAnsi"/>
          <w:b/>
          <w:color w:val="000000" w:themeColor="text1"/>
          <w:sz w:val="24"/>
          <w:szCs w:val="24"/>
        </w:rPr>
        <w:t xml:space="preserve"> MDB</w:t>
      </w:r>
    </w:p>
    <w:p w14:paraId="1CA2C9A3" w14:textId="7E011C3B" w:rsidR="008D0A46" w:rsidRPr="000906EA" w:rsidRDefault="008D0A46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0BA505D0" w14:textId="733F8B0A" w:rsidR="008D0A46" w:rsidRPr="000906EA" w:rsidRDefault="008D0A46" w:rsidP="00F975C1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0906EA">
        <w:rPr>
          <w:rFonts w:asciiTheme="majorHAnsi" w:hAnsiTheme="majorHAnsi"/>
          <w:b/>
          <w:color w:val="000000" w:themeColor="text1"/>
          <w:sz w:val="24"/>
          <w:szCs w:val="24"/>
        </w:rPr>
        <w:lastRenderedPageBreak/>
        <w:t>JUSTIFICATIVA</w:t>
      </w:r>
    </w:p>
    <w:p w14:paraId="67C5F431" w14:textId="77777777" w:rsidR="00F975C1" w:rsidRPr="000906EA" w:rsidRDefault="00F975C1" w:rsidP="00F975C1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14:paraId="4D6A7128" w14:textId="75F37039" w:rsidR="00A822D1" w:rsidRPr="000906EA" w:rsidRDefault="00A822D1" w:rsidP="00F975C1">
      <w:pPr>
        <w:pStyle w:val="A090975"/>
        <w:tabs>
          <w:tab w:val="left" w:pos="1134"/>
        </w:tabs>
        <w:spacing w:line="360" w:lineRule="auto"/>
        <w:ind w:left="0" w:firstLine="0"/>
        <w:contextualSpacing/>
        <w:rPr>
          <w:rFonts w:asciiTheme="majorHAnsi" w:hAnsiTheme="majorHAnsi" w:cs="Tahoma"/>
          <w:color w:val="000000" w:themeColor="text1"/>
          <w:szCs w:val="24"/>
        </w:rPr>
      </w:pPr>
      <w:r w:rsidRPr="000906EA">
        <w:rPr>
          <w:rFonts w:asciiTheme="majorHAnsi" w:hAnsiTheme="majorHAnsi" w:cs="Tahoma"/>
          <w:color w:val="000000" w:themeColor="text1"/>
          <w:szCs w:val="24"/>
        </w:rPr>
        <w:t xml:space="preserve">Como é </w:t>
      </w:r>
      <w:proofErr w:type="gramStart"/>
      <w:r w:rsidRPr="000906EA">
        <w:rPr>
          <w:rFonts w:asciiTheme="majorHAnsi" w:hAnsiTheme="majorHAnsi" w:cs="Tahoma"/>
          <w:color w:val="000000" w:themeColor="text1"/>
          <w:szCs w:val="24"/>
        </w:rPr>
        <w:t xml:space="preserve">sabido, a pandemia </w:t>
      </w:r>
      <w:r w:rsidR="00752E55" w:rsidRPr="000906EA">
        <w:rPr>
          <w:rFonts w:asciiTheme="majorHAnsi" w:hAnsiTheme="majorHAnsi" w:cs="Tahoma"/>
          <w:color w:val="000000" w:themeColor="text1"/>
          <w:szCs w:val="24"/>
        </w:rPr>
        <w:t xml:space="preserve">de </w:t>
      </w:r>
      <w:proofErr w:type="spellStart"/>
      <w:r w:rsidR="00752E55" w:rsidRPr="000906EA">
        <w:rPr>
          <w:rFonts w:asciiTheme="majorHAnsi" w:hAnsiTheme="majorHAnsi" w:cs="Tahoma"/>
          <w:color w:val="000000" w:themeColor="text1"/>
          <w:szCs w:val="24"/>
        </w:rPr>
        <w:t>Coronavírus</w:t>
      </w:r>
      <w:proofErr w:type="spellEnd"/>
      <w:r w:rsidR="00752E55" w:rsidRPr="000906EA">
        <w:rPr>
          <w:rFonts w:asciiTheme="majorHAnsi" w:hAnsiTheme="majorHAnsi" w:cs="Tahoma"/>
          <w:color w:val="000000" w:themeColor="text1"/>
          <w:szCs w:val="24"/>
        </w:rPr>
        <w:t xml:space="preserve"> (</w:t>
      </w:r>
      <w:r w:rsidRPr="000906EA">
        <w:rPr>
          <w:rFonts w:asciiTheme="majorHAnsi" w:hAnsiTheme="majorHAnsi" w:cs="Tahoma"/>
          <w:color w:val="000000" w:themeColor="text1"/>
          <w:szCs w:val="24"/>
        </w:rPr>
        <w:t>COVID-19</w:t>
      </w:r>
      <w:r w:rsidR="00752E55" w:rsidRPr="000906EA">
        <w:rPr>
          <w:rFonts w:asciiTheme="majorHAnsi" w:hAnsiTheme="majorHAnsi" w:cs="Tahoma"/>
          <w:color w:val="000000" w:themeColor="text1"/>
          <w:szCs w:val="24"/>
        </w:rPr>
        <w:t>)</w:t>
      </w:r>
      <w:proofErr w:type="gramEnd"/>
      <w:r w:rsidRPr="000906EA">
        <w:rPr>
          <w:rFonts w:asciiTheme="majorHAnsi" w:hAnsiTheme="majorHAnsi" w:cs="Tahoma"/>
          <w:color w:val="000000" w:themeColor="text1"/>
          <w:szCs w:val="24"/>
        </w:rPr>
        <w:t xml:space="preserve"> trouxe inúmeras implicações sociais, mudando a rotina, os hábitos e a forma de convivência entre as pessoas.</w:t>
      </w:r>
    </w:p>
    <w:p w14:paraId="40E22A08" w14:textId="3F733E56" w:rsidR="00A822D1" w:rsidRPr="000906EA" w:rsidRDefault="00A822D1" w:rsidP="00F975C1">
      <w:pPr>
        <w:pStyle w:val="A090975"/>
        <w:tabs>
          <w:tab w:val="left" w:pos="1134"/>
        </w:tabs>
        <w:spacing w:line="360" w:lineRule="auto"/>
        <w:ind w:left="0" w:firstLine="0"/>
        <w:contextualSpacing/>
        <w:rPr>
          <w:rFonts w:asciiTheme="majorHAnsi" w:hAnsiTheme="majorHAnsi" w:cs="Tahoma"/>
          <w:color w:val="000000" w:themeColor="text1"/>
          <w:szCs w:val="24"/>
        </w:rPr>
      </w:pPr>
    </w:p>
    <w:p w14:paraId="176FD6C1" w14:textId="745CB128" w:rsidR="00A822D1" w:rsidRPr="000906EA" w:rsidRDefault="00A822D1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  <w:r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O vírus pode trazer consequências danosas a qualquer pessoa e faixa etária. Entretanto, </w:t>
      </w:r>
      <w:r w:rsidRPr="000906EA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os idosos representam o público que causa maior preocupação com a pandemia do novo </w:t>
      </w:r>
      <w:proofErr w:type="spellStart"/>
      <w:r w:rsidRPr="000906EA">
        <w:rPr>
          <w:rFonts w:asciiTheme="majorHAnsi" w:hAnsiTheme="majorHAnsi"/>
          <w:bCs/>
          <w:color w:val="000000" w:themeColor="text1"/>
          <w:sz w:val="24"/>
          <w:szCs w:val="24"/>
        </w:rPr>
        <w:t>coronavírus</w:t>
      </w:r>
      <w:proofErr w:type="spellEnd"/>
      <w:r w:rsidRPr="000906EA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(Covid-19). Isso porque a baixa imunidade</w:t>
      </w:r>
      <w:r w:rsidR="006334F3" w:rsidRPr="000906EA">
        <w:rPr>
          <w:rFonts w:asciiTheme="majorHAnsi" w:hAnsiTheme="majorHAnsi"/>
          <w:bCs/>
          <w:color w:val="000000" w:themeColor="text1"/>
          <w:sz w:val="24"/>
          <w:szCs w:val="24"/>
        </w:rPr>
        <w:t>, a pouca resistência, pouca energia e muitas vezes a presença de doenças pré-existentes</w:t>
      </w:r>
      <w:proofErr w:type="gramStart"/>
      <w:r w:rsidR="006334F3" w:rsidRPr="000906EA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 </w:t>
      </w:r>
      <w:proofErr w:type="gramEnd"/>
      <w:r w:rsidR="006334F3" w:rsidRPr="000906EA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faz dessas pessoas mais vulneráveis à ação do vírus e a </w:t>
      </w:r>
      <w:r w:rsidRPr="000906EA">
        <w:rPr>
          <w:rFonts w:asciiTheme="majorHAnsi" w:hAnsiTheme="majorHAnsi"/>
          <w:bCs/>
          <w:color w:val="000000" w:themeColor="text1"/>
          <w:sz w:val="24"/>
          <w:szCs w:val="24"/>
        </w:rPr>
        <w:t>complicações decorrentes dele, como síndromes respiratórias agudas graves.</w:t>
      </w:r>
    </w:p>
    <w:p w14:paraId="388E7857" w14:textId="0B43CBF8" w:rsidR="00A822D1" w:rsidRPr="000906EA" w:rsidRDefault="00A822D1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</w:p>
    <w:p w14:paraId="6E15AC5C" w14:textId="5279BDED" w:rsidR="006334F3" w:rsidRPr="000906EA" w:rsidRDefault="00752E55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0906EA">
        <w:rPr>
          <w:rFonts w:asciiTheme="majorHAnsi" w:hAnsiTheme="majorHAnsi"/>
          <w:bCs/>
          <w:color w:val="000000" w:themeColor="text1"/>
          <w:sz w:val="24"/>
          <w:szCs w:val="24"/>
        </w:rPr>
        <w:t>Um e</w:t>
      </w:r>
      <w:r w:rsidR="00A822D1" w:rsidRPr="000906EA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studo do Centro para a Prevenção e Combate a Doenças da China analisou casos no país, tomando exemplos do mês de fevereiro, e identificou que </w:t>
      </w:r>
      <w:r w:rsidR="00A822D1" w:rsidRPr="000906EA">
        <w:rPr>
          <w:rFonts w:asciiTheme="majorHAnsi" w:hAnsiTheme="majorHAnsi"/>
          <w:b/>
          <w:color w:val="000000" w:themeColor="text1"/>
          <w:sz w:val="24"/>
          <w:szCs w:val="24"/>
        </w:rPr>
        <w:t>a taxa de mortalidade avança conforme a idade</w:t>
      </w:r>
      <w:r w:rsidR="00A822D1" w:rsidRPr="000906EA">
        <w:rPr>
          <w:rFonts w:asciiTheme="majorHAnsi" w:hAnsiTheme="majorHAnsi"/>
          <w:bCs/>
          <w:color w:val="000000" w:themeColor="text1"/>
          <w:sz w:val="24"/>
          <w:szCs w:val="24"/>
        </w:rPr>
        <w:t>.</w:t>
      </w:r>
      <w:r w:rsidR="006334F3" w:rsidRPr="000906EA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</w:t>
      </w:r>
      <w:r w:rsidR="00A822D1" w:rsidRPr="000906EA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Enquanto entre </w:t>
      </w:r>
      <w:proofErr w:type="gramStart"/>
      <w:r w:rsidR="00A822D1" w:rsidRPr="000906EA">
        <w:rPr>
          <w:rFonts w:asciiTheme="majorHAnsi" w:hAnsiTheme="majorHAnsi"/>
          <w:bCs/>
          <w:color w:val="000000" w:themeColor="text1"/>
          <w:sz w:val="24"/>
          <w:szCs w:val="24"/>
        </w:rPr>
        <w:t>0</w:t>
      </w:r>
      <w:proofErr w:type="gramEnd"/>
      <w:r w:rsidR="00A822D1" w:rsidRPr="000906EA">
        <w:rPr>
          <w:rFonts w:asciiTheme="majorHAnsi" w:hAnsiTheme="majorHAnsi"/>
          <w:bCs/>
          <w:color w:val="000000" w:themeColor="text1"/>
          <w:sz w:val="24"/>
          <w:szCs w:val="24"/>
        </w:rPr>
        <w:t xml:space="preserve"> e 49 anos ela não passa de 1%, entre 50 e 59 fica em 1,3%, </w:t>
      </w:r>
      <w:r w:rsidR="00A822D1" w:rsidRPr="000906EA">
        <w:rPr>
          <w:rFonts w:asciiTheme="majorHAnsi" w:hAnsiTheme="majorHAnsi"/>
          <w:b/>
          <w:color w:val="000000" w:themeColor="text1"/>
          <w:sz w:val="24"/>
          <w:szCs w:val="24"/>
        </w:rPr>
        <w:t>entre 60 e 69 vai para 3,6%, entre 70 e 79 anos sobe para 8% e acima dos 80 chega a 14,8%.</w:t>
      </w:r>
    </w:p>
    <w:p w14:paraId="1341A39D" w14:textId="77777777" w:rsidR="00CF09F7" w:rsidRPr="000906EA" w:rsidRDefault="00CF09F7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</w:p>
    <w:p w14:paraId="3059E103" w14:textId="32FF7E0A" w:rsidR="006334F3" w:rsidRPr="000906EA" w:rsidRDefault="00CF09F7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Cs/>
          <w:color w:val="000000" w:themeColor="text1"/>
          <w:sz w:val="24"/>
          <w:szCs w:val="24"/>
          <w:u w:val="single"/>
        </w:rPr>
      </w:pPr>
      <w:r w:rsidRPr="000906EA">
        <w:rPr>
          <w:rFonts w:asciiTheme="majorHAnsi" w:hAnsiTheme="majorHAnsi"/>
          <w:bCs/>
          <w:color w:val="000000" w:themeColor="text1"/>
          <w:sz w:val="24"/>
          <w:szCs w:val="24"/>
          <w:u w:val="single"/>
        </w:rPr>
        <w:t>No Brasil, estudos demonstram que 85% dos mortos têm mais de 60 anos de idade.</w:t>
      </w:r>
    </w:p>
    <w:p w14:paraId="0886431C" w14:textId="77777777" w:rsidR="00CF09F7" w:rsidRPr="000906EA" w:rsidRDefault="00CF09F7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</w:p>
    <w:p w14:paraId="571F1706" w14:textId="77C483C0" w:rsidR="00752E55" w:rsidRPr="000906EA" w:rsidRDefault="00A822D1" w:rsidP="00752E55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Neste diapasão cumpre ao Município </w:t>
      </w:r>
      <w:r w:rsidR="00752E55"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dar atenção especial </w:t>
      </w:r>
      <w:r w:rsidR="00AA7F18" w:rsidRPr="000906EA">
        <w:rPr>
          <w:rFonts w:asciiTheme="majorHAnsi" w:hAnsiTheme="majorHAnsi" w:cs="Tahoma"/>
          <w:color w:val="000000" w:themeColor="text1"/>
          <w:sz w:val="24"/>
          <w:szCs w:val="24"/>
        </w:rPr>
        <w:t>àqueles que possuem idade avançada</w:t>
      </w:r>
      <w:r w:rsidR="00752E55" w:rsidRPr="000906EA">
        <w:rPr>
          <w:rFonts w:asciiTheme="majorHAnsi" w:hAnsiTheme="majorHAnsi" w:cs="Tahoma"/>
          <w:color w:val="000000" w:themeColor="text1"/>
          <w:sz w:val="24"/>
          <w:szCs w:val="24"/>
        </w:rPr>
        <w:t>, adotando medidas que diminuam a exposição deste grupo ao contágio.</w:t>
      </w:r>
    </w:p>
    <w:p w14:paraId="006E83C8" w14:textId="77777777" w:rsidR="00752E55" w:rsidRPr="000906EA" w:rsidRDefault="00752E55" w:rsidP="00752E55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 w:cs="Tahoma"/>
          <w:color w:val="000000" w:themeColor="text1"/>
          <w:sz w:val="24"/>
          <w:szCs w:val="24"/>
        </w:rPr>
      </w:pPr>
    </w:p>
    <w:p w14:paraId="412B470C" w14:textId="77777777" w:rsidR="000906EA" w:rsidRDefault="00AA7F18" w:rsidP="000906EA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Gestantes e pessoas com deficiência física também fazem parte integrante da proteção deste projeto. As gestantes devido </w:t>
      </w:r>
      <w:proofErr w:type="gramStart"/>
      <w:r w:rsidRPr="000906EA">
        <w:rPr>
          <w:rFonts w:asciiTheme="majorHAnsi" w:hAnsiTheme="majorHAnsi" w:cs="Tahoma"/>
          <w:color w:val="000000" w:themeColor="text1"/>
          <w:sz w:val="24"/>
          <w:szCs w:val="24"/>
        </w:rPr>
        <w:t>as</w:t>
      </w:r>
      <w:proofErr w:type="gramEnd"/>
      <w:r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 complicações clínicas que podem sofrer e o prejuízo ao feto. Os deficientes devido às limitações e dificuldades de locomoção.</w:t>
      </w:r>
    </w:p>
    <w:p w14:paraId="333FA566" w14:textId="77777777" w:rsidR="000906EA" w:rsidRDefault="000906EA" w:rsidP="000906EA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 w:cs="Tahoma"/>
          <w:color w:val="000000" w:themeColor="text1"/>
          <w:sz w:val="24"/>
          <w:szCs w:val="24"/>
        </w:rPr>
      </w:pPr>
    </w:p>
    <w:p w14:paraId="13823B14" w14:textId="34516FED" w:rsidR="00752E55" w:rsidRPr="000906EA" w:rsidRDefault="008D0A46" w:rsidP="000906EA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 w:cs="Tahoma"/>
          <w:color w:val="000000" w:themeColor="text1"/>
          <w:sz w:val="24"/>
          <w:szCs w:val="24"/>
        </w:rPr>
      </w:pPr>
      <w:r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A adoção de horário exclusivo de atendimento </w:t>
      </w:r>
      <w:r w:rsidR="00CF09F7"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diminuirá a exposição dessas pessoas vulneráveis ao risco de contágio, preservando-lhes a saúde e a vida. </w:t>
      </w:r>
      <w:r w:rsidR="00CF09F7" w:rsidRPr="000906EA">
        <w:rPr>
          <w:rFonts w:asciiTheme="majorHAnsi" w:hAnsiTheme="majorHAnsi" w:cs="Tahoma"/>
          <w:color w:val="000000" w:themeColor="text1"/>
          <w:sz w:val="24"/>
          <w:szCs w:val="24"/>
        </w:rPr>
        <w:lastRenderedPageBreak/>
        <w:t xml:space="preserve">Também </w:t>
      </w:r>
      <w:r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beneficiará </w:t>
      </w:r>
      <w:r w:rsidR="00CF09F7" w:rsidRPr="000906EA">
        <w:rPr>
          <w:rFonts w:asciiTheme="majorHAnsi" w:hAnsiTheme="majorHAnsi" w:cs="Tahoma"/>
          <w:color w:val="000000" w:themeColor="text1"/>
          <w:sz w:val="24"/>
          <w:szCs w:val="24"/>
        </w:rPr>
        <w:t xml:space="preserve">a </w:t>
      </w:r>
      <w:r w:rsidRPr="000906EA">
        <w:rPr>
          <w:rFonts w:asciiTheme="majorHAnsi" w:hAnsiTheme="majorHAnsi" w:cs="Tahoma"/>
          <w:color w:val="000000" w:themeColor="text1"/>
          <w:sz w:val="24"/>
          <w:szCs w:val="24"/>
        </w:rPr>
        <w:t>todos os usuários dos serviços bancários com a diminuição das filas e consequentemente do tempo de espera para o atendimento</w:t>
      </w:r>
      <w:r w:rsidR="00CF09F7" w:rsidRPr="000906EA">
        <w:rPr>
          <w:rFonts w:asciiTheme="majorHAnsi" w:hAnsiTheme="majorHAnsi" w:cs="Tahoma"/>
          <w:color w:val="000000" w:themeColor="text1"/>
          <w:sz w:val="24"/>
          <w:szCs w:val="24"/>
        </w:rPr>
        <w:t>.</w:t>
      </w:r>
    </w:p>
    <w:p w14:paraId="3E9FC424" w14:textId="77777777" w:rsidR="00752E55" w:rsidRPr="000906EA" w:rsidRDefault="00752E55" w:rsidP="00F975C1">
      <w:pPr>
        <w:pStyle w:val="A090975"/>
        <w:tabs>
          <w:tab w:val="left" w:pos="1134"/>
        </w:tabs>
        <w:spacing w:line="360" w:lineRule="auto"/>
        <w:ind w:left="0" w:firstLine="0"/>
        <w:contextualSpacing/>
        <w:rPr>
          <w:rFonts w:asciiTheme="majorHAnsi" w:hAnsiTheme="majorHAnsi" w:cs="Tahoma"/>
          <w:color w:val="000000" w:themeColor="text1"/>
          <w:szCs w:val="24"/>
        </w:rPr>
      </w:pPr>
    </w:p>
    <w:p w14:paraId="61D27617" w14:textId="7E650FB1" w:rsidR="008D0A46" w:rsidRPr="000906EA" w:rsidRDefault="00CF09F7" w:rsidP="00F975C1">
      <w:pPr>
        <w:pStyle w:val="A090975"/>
        <w:tabs>
          <w:tab w:val="left" w:pos="1134"/>
        </w:tabs>
        <w:spacing w:line="360" w:lineRule="auto"/>
        <w:ind w:left="0" w:firstLine="0"/>
        <w:contextualSpacing/>
        <w:rPr>
          <w:rFonts w:asciiTheme="majorHAnsi" w:hAnsiTheme="majorHAnsi" w:cs="Tahoma"/>
          <w:b/>
          <w:bCs/>
          <w:color w:val="000000" w:themeColor="text1"/>
          <w:szCs w:val="24"/>
        </w:rPr>
      </w:pPr>
      <w:r w:rsidRPr="000906EA">
        <w:rPr>
          <w:rFonts w:asciiTheme="majorHAnsi" w:hAnsiTheme="majorHAnsi" w:cs="Tahoma"/>
          <w:b/>
          <w:bCs/>
          <w:color w:val="000000" w:themeColor="text1"/>
          <w:szCs w:val="24"/>
        </w:rPr>
        <w:t xml:space="preserve">RESSALTE-SE QUE ESTE PROJETO DE LEI NÃO ALTERA EM NADA O </w:t>
      </w:r>
      <w:r w:rsidR="00752E55" w:rsidRPr="000906EA">
        <w:rPr>
          <w:rFonts w:asciiTheme="majorHAnsi" w:hAnsiTheme="majorHAnsi" w:cs="Tahoma"/>
          <w:b/>
          <w:bCs/>
          <w:color w:val="000000" w:themeColor="text1"/>
          <w:szCs w:val="24"/>
        </w:rPr>
        <w:t xml:space="preserve">HORÁRIO DE </w:t>
      </w:r>
      <w:r w:rsidR="000906EA" w:rsidRPr="000906EA">
        <w:rPr>
          <w:rFonts w:asciiTheme="majorHAnsi" w:hAnsiTheme="majorHAnsi" w:cs="Tahoma"/>
          <w:b/>
          <w:bCs/>
          <w:color w:val="000000" w:themeColor="text1"/>
          <w:szCs w:val="24"/>
        </w:rPr>
        <w:t xml:space="preserve">FUNCIONAMENTO </w:t>
      </w:r>
      <w:r w:rsidRPr="000906EA">
        <w:rPr>
          <w:rFonts w:asciiTheme="majorHAnsi" w:hAnsiTheme="majorHAnsi" w:cs="Tahoma"/>
          <w:b/>
          <w:bCs/>
          <w:color w:val="000000" w:themeColor="text1"/>
          <w:szCs w:val="24"/>
        </w:rPr>
        <w:t>JÁ EXISTENTE NAS AGÊNCIAS, APENAS GARANTE HORÁRIO DE ATENDIMENTO EXCLUSIVO A ESSES MUNÍCIPES QUE APRESENTAM MAIOR VULNERABILIDADE.</w:t>
      </w:r>
    </w:p>
    <w:p w14:paraId="13A4D587" w14:textId="77777777" w:rsidR="008D0A46" w:rsidRPr="000906EA" w:rsidRDefault="008D0A46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</w:p>
    <w:p w14:paraId="11038493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b/>
          <w:sz w:val="24"/>
          <w:szCs w:val="24"/>
          <w:u w:val="single"/>
        </w:rPr>
        <w:t>Quanto ao aspecto legal e constitucional da propositura</w:t>
      </w:r>
      <w:r w:rsidRPr="000906EA">
        <w:rPr>
          <w:rFonts w:asciiTheme="majorHAnsi" w:hAnsiTheme="majorHAnsi"/>
          <w:sz w:val="24"/>
          <w:szCs w:val="24"/>
        </w:rPr>
        <w:t xml:space="preserve">, o artigo 30, inciso I, da 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Constituição Federal</w:t>
      </w:r>
      <w:r w:rsidRPr="000906EA">
        <w:rPr>
          <w:rFonts w:asciiTheme="majorHAnsi" w:hAnsiTheme="majorHAnsi"/>
          <w:sz w:val="24"/>
          <w:szCs w:val="24"/>
        </w:rPr>
        <w:t xml:space="preserve">, que confere atribuição aos Municípios para “legislar sobre assuntos de interesse local”, bem como a 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jurisprudência do Supremo Tribunal Federal</w:t>
      </w:r>
      <w:r w:rsidRPr="000906EA">
        <w:rPr>
          <w:rFonts w:asciiTheme="majorHAnsi" w:hAnsiTheme="majorHAnsi"/>
          <w:sz w:val="24"/>
          <w:szCs w:val="24"/>
        </w:rPr>
        <w:t xml:space="preserve"> asseguram a autonomia municipal para a elaboração de leis destinadas a garantir o melhor atendimento e conforto aos usuários de serviços bancários.</w:t>
      </w:r>
    </w:p>
    <w:p w14:paraId="4F01C176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1679F57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 xml:space="preserve">O presente projeto de Lei revela o exercício da competência normativa municipal sem extravasamento de seus limites, pois, é plenamente admissível ao Município exigir de estabelecimentos </w:t>
      </w:r>
      <w:proofErr w:type="gramStart"/>
      <w:r w:rsidRPr="000906EA">
        <w:rPr>
          <w:rFonts w:asciiTheme="majorHAnsi" w:hAnsiTheme="majorHAnsi"/>
          <w:sz w:val="24"/>
          <w:szCs w:val="24"/>
        </w:rPr>
        <w:t>bancários medidas</w:t>
      </w:r>
      <w:proofErr w:type="gramEnd"/>
      <w:r w:rsidRPr="000906EA">
        <w:rPr>
          <w:rFonts w:asciiTheme="majorHAnsi" w:hAnsiTheme="majorHAnsi"/>
          <w:sz w:val="24"/>
          <w:szCs w:val="24"/>
        </w:rPr>
        <w:t xml:space="preserve"> e providências para proteção da vida, da integridade física e do patrimônio de seus usuários e consumidores.</w:t>
      </w:r>
    </w:p>
    <w:p w14:paraId="4F588D6B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3362049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 xml:space="preserve">Nesse sentido, 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a jurisprudência do SUPREMO é pacífica e consolidada</w:t>
      </w:r>
      <w:r w:rsidRPr="000906EA">
        <w:rPr>
          <w:rFonts w:asciiTheme="majorHAnsi" w:hAnsiTheme="majorHAnsi"/>
          <w:sz w:val="24"/>
          <w:szCs w:val="24"/>
        </w:rPr>
        <w:t>, senão vejamos:</w:t>
      </w:r>
    </w:p>
    <w:p w14:paraId="1E813EE7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5F56E81A" w14:textId="77777777" w:rsidR="00047659" w:rsidRPr="000906EA" w:rsidRDefault="00047659" w:rsidP="00F975C1">
      <w:pPr>
        <w:spacing w:after="0" w:line="360" w:lineRule="auto"/>
        <w:ind w:left="567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0906EA">
        <w:rPr>
          <w:rFonts w:asciiTheme="majorHAnsi" w:hAnsiTheme="majorHAnsi"/>
          <w:b/>
          <w:bCs/>
          <w:sz w:val="24"/>
          <w:szCs w:val="24"/>
        </w:rPr>
        <w:t>EMENTA:</w:t>
      </w:r>
      <w:r w:rsidRPr="000906EA">
        <w:rPr>
          <w:rFonts w:asciiTheme="majorHAnsi" w:hAnsiTheme="majorHAnsi"/>
          <w:bCs/>
          <w:sz w:val="24"/>
          <w:szCs w:val="24"/>
        </w:rPr>
        <w:t xml:space="preserve"> Ementa: AGRAVO DE INSTRUMENTO. COMPETÊNCIA PARA LEGISLAR. MUNICÍPIOS. ESTABELECIMENTOS BANCÁRIOS. SEGURANÇA. INTERESSE LOCAL. AGRAVO REGIMENTAL DESPROVIDO. </w:t>
      </w:r>
      <w:r w:rsidRPr="000906EA">
        <w:rPr>
          <w:rFonts w:asciiTheme="majorHAnsi" w:hAnsiTheme="majorHAnsi"/>
          <w:b/>
          <w:bCs/>
          <w:sz w:val="24"/>
          <w:szCs w:val="24"/>
          <w:u w:val="single"/>
        </w:rPr>
        <w:t xml:space="preserve">Esta Corte, em diversos precedentes, firmou entendimento no sentido de que se insere na competência dos Municípios para legislar sobre assuntos de interesse local (art. 30, I da Constituição Federal) dispor sobre medidas referentes à segurança, conforto e rapidez no atendimento aos usuários de serviços bancários, tais como, por exemplo: estabelecer tempo de atendimento ao público, determinar a instalação de sanitários em </w:t>
      </w:r>
      <w:r w:rsidRPr="000906EA">
        <w:rPr>
          <w:rFonts w:asciiTheme="majorHAnsi" w:hAnsiTheme="majorHAnsi"/>
          <w:b/>
          <w:bCs/>
          <w:sz w:val="24"/>
          <w:szCs w:val="24"/>
          <w:u w:val="single"/>
        </w:rPr>
        <w:lastRenderedPageBreak/>
        <w:t>agências bancárias e equipamentos de segurança, como portas de acesso ao público.</w:t>
      </w:r>
      <w:r w:rsidRPr="000906E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0906EA">
        <w:rPr>
          <w:rFonts w:asciiTheme="majorHAnsi" w:hAnsiTheme="majorHAnsi"/>
          <w:bCs/>
          <w:sz w:val="24"/>
          <w:szCs w:val="24"/>
        </w:rPr>
        <w:t xml:space="preserve">Agravo regimental desprovido. (STF - AI: 536884 RS, Relator: Min. JOAQUIM BARBOSA, Data de Julgamento: 26/06/2012, Segunda Turma, Data de Publicação: ACÓRDÃO ELETRÔNICO </w:t>
      </w:r>
      <w:proofErr w:type="gramStart"/>
      <w:r w:rsidRPr="000906EA">
        <w:rPr>
          <w:rFonts w:asciiTheme="majorHAnsi" w:hAnsiTheme="majorHAnsi"/>
          <w:bCs/>
          <w:sz w:val="24"/>
          <w:szCs w:val="24"/>
        </w:rPr>
        <w:t>DJe</w:t>
      </w:r>
      <w:proofErr w:type="gramEnd"/>
      <w:r w:rsidRPr="000906EA">
        <w:rPr>
          <w:rFonts w:asciiTheme="majorHAnsi" w:hAnsiTheme="majorHAnsi"/>
          <w:bCs/>
          <w:sz w:val="24"/>
          <w:szCs w:val="24"/>
        </w:rPr>
        <w:t>-158 DIVULG 10-08-2012 PUBLIC 13-08-2012).</w:t>
      </w:r>
    </w:p>
    <w:p w14:paraId="24131287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bCs/>
          <w:sz w:val="24"/>
          <w:szCs w:val="24"/>
        </w:rPr>
      </w:pPr>
    </w:p>
    <w:p w14:paraId="0ABA79CC" w14:textId="77777777" w:rsidR="00047659" w:rsidRPr="000906EA" w:rsidRDefault="00047659" w:rsidP="00F975C1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b/>
          <w:sz w:val="24"/>
          <w:szCs w:val="24"/>
        </w:rPr>
        <w:t>EMENTA:</w:t>
      </w:r>
      <w:r w:rsidRPr="000906EA">
        <w:rPr>
          <w:rFonts w:asciiTheme="majorHAnsi" w:hAnsiTheme="majorHAnsi"/>
          <w:sz w:val="24"/>
          <w:szCs w:val="24"/>
        </w:rPr>
        <w:t xml:space="preserve"> COMPETÊNCIA NORMATIVA </w:t>
      </w:r>
      <w:r w:rsidRPr="000906EA">
        <w:rPr>
          <w:rFonts w:ascii="Cambria" w:hAnsi="Cambria" w:cs="Cambria"/>
          <w:sz w:val="24"/>
          <w:szCs w:val="24"/>
        </w:rPr>
        <w:t></w:t>
      </w:r>
      <w:r w:rsidRPr="000906EA">
        <w:rPr>
          <w:rFonts w:asciiTheme="majorHAnsi" w:hAnsiTheme="majorHAnsi"/>
          <w:sz w:val="24"/>
          <w:szCs w:val="24"/>
        </w:rPr>
        <w:t xml:space="preserve"> AG</w:t>
      </w:r>
      <w:r w:rsidRPr="000906EA">
        <w:rPr>
          <w:rFonts w:asciiTheme="majorHAnsi" w:hAnsiTheme="majorHAnsi" w:cs="Calibri"/>
          <w:sz w:val="24"/>
          <w:szCs w:val="24"/>
        </w:rPr>
        <w:t>Ê</w:t>
      </w:r>
      <w:r w:rsidRPr="000906EA">
        <w:rPr>
          <w:rFonts w:asciiTheme="majorHAnsi" w:hAnsiTheme="majorHAnsi"/>
          <w:sz w:val="24"/>
          <w:szCs w:val="24"/>
        </w:rPr>
        <w:t xml:space="preserve">NCIAS </w:t>
      </w:r>
      <w:proofErr w:type="gramStart"/>
      <w:r w:rsidRPr="000906EA">
        <w:rPr>
          <w:rFonts w:asciiTheme="majorHAnsi" w:hAnsiTheme="majorHAnsi"/>
          <w:sz w:val="24"/>
          <w:szCs w:val="24"/>
        </w:rPr>
        <w:t>BANC</w:t>
      </w:r>
      <w:r w:rsidRPr="000906EA">
        <w:rPr>
          <w:rFonts w:asciiTheme="majorHAnsi" w:hAnsiTheme="majorHAnsi" w:cs="Calibri"/>
          <w:sz w:val="24"/>
          <w:szCs w:val="24"/>
        </w:rPr>
        <w:t>Á</w:t>
      </w:r>
      <w:r w:rsidRPr="000906EA">
        <w:rPr>
          <w:rFonts w:asciiTheme="majorHAnsi" w:hAnsiTheme="majorHAnsi"/>
          <w:sz w:val="24"/>
          <w:szCs w:val="24"/>
        </w:rPr>
        <w:t xml:space="preserve">RIAS </w:t>
      </w:r>
      <w:r w:rsidRPr="000906EA">
        <w:rPr>
          <w:rFonts w:ascii="Cambria" w:hAnsi="Cambria" w:cs="Cambria"/>
          <w:sz w:val="24"/>
          <w:szCs w:val="24"/>
        </w:rPr>
        <w:t></w:t>
      </w:r>
      <w:r w:rsidRPr="000906EA">
        <w:rPr>
          <w:rFonts w:asciiTheme="majorHAnsi" w:hAnsiTheme="majorHAnsi"/>
          <w:sz w:val="24"/>
          <w:szCs w:val="24"/>
        </w:rPr>
        <w:t xml:space="preserve"> SEGURAN</w:t>
      </w:r>
      <w:r w:rsidRPr="000906EA">
        <w:rPr>
          <w:rFonts w:asciiTheme="majorHAnsi" w:hAnsiTheme="majorHAnsi" w:cs="Calibri"/>
          <w:sz w:val="24"/>
          <w:szCs w:val="24"/>
        </w:rPr>
        <w:t>Ç</w:t>
      </w:r>
      <w:r w:rsidRPr="000906EA">
        <w:rPr>
          <w:rFonts w:asciiTheme="majorHAnsi" w:hAnsiTheme="majorHAnsi"/>
          <w:sz w:val="24"/>
          <w:szCs w:val="24"/>
        </w:rPr>
        <w:t>A</w:t>
      </w:r>
      <w:proofErr w:type="gramEnd"/>
      <w:r w:rsidRPr="000906EA">
        <w:rPr>
          <w:rFonts w:asciiTheme="majorHAnsi" w:hAnsiTheme="majorHAnsi"/>
          <w:sz w:val="24"/>
          <w:szCs w:val="24"/>
        </w:rPr>
        <w:t xml:space="preserve">, CONFORTO E RAPIDEZ. 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Cabe ao munic</w:t>
      </w:r>
      <w:r w:rsidRPr="000906EA">
        <w:rPr>
          <w:rFonts w:asciiTheme="majorHAnsi" w:hAnsiTheme="majorHAnsi" w:cs="Calibri"/>
          <w:b/>
          <w:sz w:val="24"/>
          <w:szCs w:val="24"/>
          <w:u w:val="single"/>
        </w:rPr>
        <w:t>í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pio a edi</w:t>
      </w:r>
      <w:r w:rsidRPr="000906EA">
        <w:rPr>
          <w:rFonts w:asciiTheme="majorHAnsi" w:hAnsiTheme="majorHAnsi" w:cs="Calibri"/>
          <w:b/>
          <w:sz w:val="24"/>
          <w:szCs w:val="24"/>
          <w:u w:val="single"/>
        </w:rPr>
        <w:t>çã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o de leis visando a seguran</w:t>
      </w:r>
      <w:r w:rsidRPr="000906EA">
        <w:rPr>
          <w:rFonts w:asciiTheme="majorHAnsi" w:hAnsiTheme="majorHAnsi" w:cs="Calibri"/>
          <w:b/>
          <w:sz w:val="24"/>
          <w:szCs w:val="24"/>
          <w:u w:val="single"/>
        </w:rPr>
        <w:t>ç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a, o conforto e a rapidez dos servi</w:t>
      </w:r>
      <w:r w:rsidRPr="000906EA">
        <w:rPr>
          <w:rFonts w:asciiTheme="majorHAnsi" w:hAnsiTheme="majorHAnsi" w:cs="Calibri"/>
          <w:b/>
          <w:sz w:val="24"/>
          <w:szCs w:val="24"/>
          <w:u w:val="single"/>
        </w:rPr>
        <w:t>ç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 xml:space="preserve">os </w:t>
      </w:r>
      <w:proofErr w:type="gramStart"/>
      <w:r w:rsidRPr="000906EA">
        <w:rPr>
          <w:rFonts w:asciiTheme="majorHAnsi" w:hAnsiTheme="majorHAnsi"/>
          <w:b/>
          <w:sz w:val="24"/>
          <w:szCs w:val="24"/>
          <w:u w:val="single"/>
        </w:rPr>
        <w:t>banc</w:t>
      </w:r>
      <w:r w:rsidRPr="000906EA">
        <w:rPr>
          <w:rFonts w:asciiTheme="majorHAnsi" w:hAnsiTheme="majorHAnsi" w:cs="Calibri"/>
          <w:b/>
          <w:sz w:val="24"/>
          <w:szCs w:val="24"/>
          <w:u w:val="single"/>
        </w:rPr>
        <w:t>á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rios</w:t>
      </w:r>
      <w:r w:rsidRPr="000906EA">
        <w:rPr>
          <w:rFonts w:asciiTheme="majorHAnsi" w:hAnsiTheme="majorHAnsi"/>
          <w:sz w:val="24"/>
          <w:szCs w:val="24"/>
        </w:rPr>
        <w:t>.</w:t>
      </w:r>
      <w:proofErr w:type="gramEnd"/>
      <w:r w:rsidRPr="000906EA">
        <w:rPr>
          <w:rFonts w:ascii="Cambria" w:hAnsi="Cambria" w:cs="Cambria"/>
          <w:sz w:val="24"/>
          <w:szCs w:val="24"/>
        </w:rPr>
        <w:t></w:t>
      </w:r>
      <w:r w:rsidRPr="000906EA">
        <w:rPr>
          <w:rFonts w:asciiTheme="majorHAnsi" w:hAnsiTheme="majorHAnsi"/>
          <w:sz w:val="24"/>
          <w:szCs w:val="24"/>
        </w:rPr>
        <w:t xml:space="preserve"> Precedentes </w:t>
      </w:r>
      <w:r w:rsidRPr="000906EA">
        <w:rPr>
          <w:rFonts w:ascii="Cambria" w:hAnsi="Cambria" w:cs="Cambria"/>
          <w:sz w:val="24"/>
          <w:szCs w:val="24"/>
        </w:rPr>
        <w:t></w:t>
      </w:r>
      <w:r w:rsidRPr="000906EA">
        <w:rPr>
          <w:rFonts w:asciiTheme="majorHAnsi" w:hAnsiTheme="majorHAnsi"/>
          <w:sz w:val="24"/>
          <w:szCs w:val="24"/>
        </w:rPr>
        <w:t xml:space="preserve"> Agravo Regimental em Recurso Extraordin</w:t>
      </w:r>
      <w:r w:rsidRPr="000906EA">
        <w:rPr>
          <w:rFonts w:asciiTheme="majorHAnsi" w:hAnsiTheme="majorHAnsi" w:cs="Calibri"/>
          <w:sz w:val="24"/>
          <w:szCs w:val="24"/>
        </w:rPr>
        <w:t>á</w:t>
      </w:r>
      <w:r w:rsidRPr="000906EA">
        <w:rPr>
          <w:rFonts w:asciiTheme="majorHAnsi" w:hAnsiTheme="majorHAnsi"/>
          <w:sz w:val="24"/>
          <w:szCs w:val="24"/>
        </w:rPr>
        <w:t>rio n</w:t>
      </w:r>
      <w:r w:rsidRPr="000906EA">
        <w:rPr>
          <w:rFonts w:asciiTheme="majorHAnsi" w:hAnsiTheme="majorHAnsi" w:cs="Calibri"/>
          <w:sz w:val="24"/>
          <w:szCs w:val="24"/>
        </w:rPr>
        <w:t>º</w:t>
      </w:r>
      <w:r w:rsidRPr="000906EA">
        <w:rPr>
          <w:rFonts w:asciiTheme="majorHAnsi" w:hAnsiTheme="majorHAnsi"/>
          <w:sz w:val="24"/>
          <w:szCs w:val="24"/>
        </w:rPr>
        <w:t xml:space="preserve"> 694.298, relatado pelo ministro Luiz Fux, Primeira Turma; Agravo Regimental no Recurso Extraordin</w:t>
      </w:r>
      <w:r w:rsidRPr="000906EA">
        <w:rPr>
          <w:rFonts w:asciiTheme="majorHAnsi" w:hAnsiTheme="majorHAnsi" w:cs="Calibri"/>
          <w:sz w:val="24"/>
          <w:szCs w:val="24"/>
        </w:rPr>
        <w:t>á</w:t>
      </w:r>
      <w:r w:rsidRPr="000906EA">
        <w:rPr>
          <w:rFonts w:asciiTheme="majorHAnsi" w:hAnsiTheme="majorHAnsi"/>
          <w:sz w:val="24"/>
          <w:szCs w:val="24"/>
        </w:rPr>
        <w:t>rio n</w:t>
      </w:r>
      <w:r w:rsidRPr="000906EA">
        <w:rPr>
          <w:rFonts w:asciiTheme="majorHAnsi" w:hAnsiTheme="majorHAnsi" w:cs="Calibri"/>
          <w:sz w:val="24"/>
          <w:szCs w:val="24"/>
        </w:rPr>
        <w:t>º</w:t>
      </w:r>
      <w:r w:rsidRPr="000906EA">
        <w:rPr>
          <w:rFonts w:asciiTheme="majorHAnsi" w:hAnsiTheme="majorHAnsi"/>
          <w:sz w:val="24"/>
          <w:szCs w:val="24"/>
        </w:rPr>
        <w:t xml:space="preserve"> 254.172, da relatoria do ministro Ayres Britto, Segunda Turma. (STF - ARE: 775628 MG, Relator: Min. MARCO AURÉLIO, Data de Julgamento: 20/05/2014, Primeira Turma, Data de Publicação: ACÓRDÃO ELETRÔNICO </w:t>
      </w:r>
      <w:proofErr w:type="gramStart"/>
      <w:r w:rsidRPr="000906EA">
        <w:rPr>
          <w:rFonts w:asciiTheme="majorHAnsi" w:hAnsiTheme="majorHAnsi"/>
          <w:sz w:val="24"/>
          <w:szCs w:val="24"/>
        </w:rPr>
        <w:t>DJe</w:t>
      </w:r>
      <w:proofErr w:type="gramEnd"/>
      <w:r w:rsidRPr="000906EA">
        <w:rPr>
          <w:rFonts w:asciiTheme="majorHAnsi" w:hAnsiTheme="majorHAnsi"/>
          <w:sz w:val="24"/>
          <w:szCs w:val="24"/>
        </w:rPr>
        <w:t>-112 DIVULG 10-06-2014 PUBLIC 11-06-2014).</w:t>
      </w:r>
    </w:p>
    <w:p w14:paraId="2EDF35CB" w14:textId="77777777" w:rsidR="00047659" w:rsidRPr="000906EA" w:rsidRDefault="00047659" w:rsidP="00F975C1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b/>
          <w:sz w:val="24"/>
          <w:szCs w:val="24"/>
        </w:rPr>
        <w:t>EMENTA:</w:t>
      </w:r>
      <w:r w:rsidRPr="000906EA">
        <w:rPr>
          <w:rFonts w:asciiTheme="majorHAnsi" w:hAnsiTheme="majorHAnsi"/>
          <w:sz w:val="24"/>
          <w:szCs w:val="24"/>
        </w:rPr>
        <w:t xml:space="preserve"> DIREITO CONSTITUCIONAL. AGRAVO INTERNO EM RECURSO EXTRAORDINÁRIO. 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LEI MUNICIPAL. SEGURANÇA PARA USUÁRIOS DE SERVIÇOS BANCÁRIOS.</w:t>
      </w:r>
      <w:r w:rsidRPr="000906EA">
        <w:rPr>
          <w:rFonts w:asciiTheme="majorHAnsi" w:hAnsiTheme="majorHAnsi"/>
          <w:sz w:val="24"/>
          <w:szCs w:val="24"/>
        </w:rPr>
        <w:t xml:space="preserve"> 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POSSIBILIDADE.</w:t>
      </w:r>
      <w:r w:rsidRPr="000906EA">
        <w:rPr>
          <w:rFonts w:asciiTheme="majorHAnsi" w:hAnsiTheme="majorHAnsi"/>
          <w:sz w:val="24"/>
          <w:szCs w:val="24"/>
        </w:rPr>
        <w:t xml:space="preserve"> PRECEDENTES. 1. 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 xml:space="preserve">A decisão proferida pelo Tribunal de origem está alinhada à jurisprudência do Supremo Tribunal Federal (RE 610.221-RG, Rel.ª Min.ª Ellen Gracie). </w:t>
      </w:r>
      <w:r w:rsidRPr="000906EA">
        <w:rPr>
          <w:rFonts w:asciiTheme="majorHAnsi" w:hAnsiTheme="majorHAnsi"/>
          <w:sz w:val="24"/>
          <w:szCs w:val="24"/>
        </w:rPr>
        <w:t xml:space="preserve">2. Inaplicável o art. 85, § 11, do CPC/2015, uma vez que não houve fixação de honorários advocatícios. 3. Agravo interno a que se nega provimento. (STF - </w:t>
      </w:r>
      <w:proofErr w:type="spellStart"/>
      <w:proofErr w:type="gramStart"/>
      <w:r w:rsidRPr="000906EA">
        <w:rPr>
          <w:rFonts w:asciiTheme="majorHAnsi" w:hAnsiTheme="majorHAnsi"/>
          <w:sz w:val="24"/>
          <w:szCs w:val="24"/>
        </w:rPr>
        <w:t>AgR</w:t>
      </w:r>
      <w:proofErr w:type="spellEnd"/>
      <w:proofErr w:type="gramEnd"/>
      <w:r w:rsidRPr="000906EA">
        <w:rPr>
          <w:rFonts w:asciiTheme="majorHAnsi" w:hAnsiTheme="majorHAnsi"/>
          <w:sz w:val="24"/>
          <w:szCs w:val="24"/>
        </w:rPr>
        <w:t xml:space="preserve"> RE: 711669 SP - SÃO PAULO, Relator: Min. ROBERTO BARROSO, Data de Julgamento: 02/05/2017, Primeira Turma).</w:t>
      </w:r>
    </w:p>
    <w:p w14:paraId="441F6671" w14:textId="77777777" w:rsidR="00047659" w:rsidRPr="000906EA" w:rsidRDefault="00047659" w:rsidP="00F975C1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</w:p>
    <w:p w14:paraId="03A9D1A6" w14:textId="77777777" w:rsidR="00047659" w:rsidRPr="000906EA" w:rsidRDefault="00047659" w:rsidP="00F975C1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 xml:space="preserve">EMENTA: COMPETÊNCIA NORMATIVA. </w:t>
      </w:r>
      <w:r w:rsidRPr="000906EA">
        <w:rPr>
          <w:rFonts w:ascii="Cambria" w:hAnsi="Cambria" w:cs="Cambria"/>
          <w:sz w:val="24"/>
          <w:szCs w:val="24"/>
        </w:rPr>
        <w:t></w:t>
      </w:r>
      <w:r w:rsidRPr="000906EA">
        <w:rPr>
          <w:rFonts w:asciiTheme="majorHAnsi" w:hAnsiTheme="majorHAnsi"/>
          <w:sz w:val="24"/>
          <w:szCs w:val="24"/>
        </w:rPr>
        <w:t xml:space="preserve"> BANCOS. </w:t>
      </w:r>
      <w:r w:rsidRPr="000906EA">
        <w:rPr>
          <w:rFonts w:ascii="Cambria" w:hAnsi="Cambria" w:cs="Cambria"/>
          <w:sz w:val="24"/>
          <w:szCs w:val="24"/>
        </w:rPr>
        <w:t></w:t>
      </w:r>
      <w:r w:rsidRPr="000906EA">
        <w:rPr>
          <w:rFonts w:asciiTheme="majorHAnsi" w:hAnsiTheme="majorHAnsi"/>
          <w:sz w:val="24"/>
          <w:szCs w:val="24"/>
        </w:rPr>
        <w:t xml:space="preserve"> EQUIPAMENTOS DE SEGURAN</w:t>
      </w:r>
      <w:r w:rsidRPr="000906EA">
        <w:rPr>
          <w:rFonts w:asciiTheme="majorHAnsi" w:hAnsiTheme="majorHAnsi" w:cs="Calibri"/>
          <w:sz w:val="24"/>
          <w:szCs w:val="24"/>
        </w:rPr>
        <w:t>Ç</w:t>
      </w:r>
      <w:r w:rsidRPr="000906EA">
        <w:rPr>
          <w:rFonts w:asciiTheme="majorHAnsi" w:hAnsiTheme="majorHAnsi"/>
          <w:sz w:val="24"/>
          <w:szCs w:val="24"/>
        </w:rPr>
        <w:t xml:space="preserve">A. </w:t>
      </w:r>
      <w:r w:rsidRPr="000906EA">
        <w:rPr>
          <w:rFonts w:ascii="Cambria" w:hAnsi="Cambria" w:cs="Cambria"/>
          <w:sz w:val="24"/>
          <w:szCs w:val="24"/>
        </w:rPr>
        <w:t></w:t>
      </w:r>
      <w:r w:rsidRPr="000906EA">
        <w:rPr>
          <w:rFonts w:asciiTheme="majorHAnsi" w:hAnsiTheme="majorHAnsi"/>
          <w:sz w:val="24"/>
          <w:szCs w:val="24"/>
        </w:rPr>
        <w:t xml:space="preserve"> MUNIC</w:t>
      </w:r>
      <w:r w:rsidRPr="000906EA">
        <w:rPr>
          <w:rFonts w:asciiTheme="majorHAnsi" w:hAnsiTheme="majorHAnsi" w:cs="Calibri"/>
          <w:sz w:val="24"/>
          <w:szCs w:val="24"/>
        </w:rPr>
        <w:t>Í</w:t>
      </w:r>
      <w:r w:rsidRPr="000906EA">
        <w:rPr>
          <w:rFonts w:asciiTheme="majorHAnsi" w:hAnsiTheme="majorHAnsi"/>
          <w:sz w:val="24"/>
          <w:szCs w:val="24"/>
        </w:rPr>
        <w:t xml:space="preserve">PIO. </w:t>
      </w:r>
      <w:r w:rsidRPr="000906EA">
        <w:rPr>
          <w:rFonts w:ascii="Cambria" w:hAnsi="Cambria" w:cs="Cambria"/>
          <w:sz w:val="24"/>
          <w:szCs w:val="24"/>
        </w:rPr>
        <w:t></w:t>
      </w:r>
      <w:r w:rsidRPr="000906EA">
        <w:rPr>
          <w:rFonts w:asciiTheme="majorHAnsi" w:hAnsiTheme="majorHAnsi"/>
          <w:sz w:val="24"/>
          <w:szCs w:val="24"/>
        </w:rPr>
        <w:t xml:space="preserve"> INTERESSE LOCAL. 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>Est</w:t>
      </w:r>
      <w:r w:rsidRPr="000906EA">
        <w:rPr>
          <w:rFonts w:asciiTheme="majorHAnsi" w:hAnsiTheme="majorHAnsi" w:cs="Calibri"/>
          <w:b/>
          <w:sz w:val="24"/>
          <w:szCs w:val="24"/>
          <w:u w:val="single"/>
        </w:rPr>
        <w:t>á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 xml:space="preserve"> entre as compet</w:t>
      </w:r>
      <w:r w:rsidRPr="000906EA">
        <w:rPr>
          <w:rFonts w:asciiTheme="majorHAnsi" w:hAnsiTheme="majorHAnsi" w:cs="Calibri"/>
          <w:b/>
          <w:sz w:val="24"/>
          <w:szCs w:val="24"/>
          <w:u w:val="single"/>
        </w:rPr>
        <w:t>ê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 xml:space="preserve">ncias municipais </w:t>
      </w:r>
      <w:proofErr w:type="gramStart"/>
      <w:r w:rsidRPr="000906EA">
        <w:rPr>
          <w:rFonts w:asciiTheme="majorHAnsi" w:hAnsiTheme="majorHAnsi"/>
          <w:b/>
          <w:sz w:val="24"/>
          <w:szCs w:val="24"/>
          <w:u w:val="single"/>
        </w:rPr>
        <w:t>a</w:t>
      </w:r>
      <w:proofErr w:type="gramEnd"/>
      <w:r w:rsidRPr="000906EA">
        <w:rPr>
          <w:rFonts w:asciiTheme="majorHAnsi" w:hAnsiTheme="majorHAnsi"/>
          <w:b/>
          <w:sz w:val="24"/>
          <w:szCs w:val="24"/>
          <w:u w:val="single"/>
        </w:rPr>
        <w:t xml:space="preserve"> edi</w:t>
      </w:r>
      <w:r w:rsidRPr="000906EA">
        <w:rPr>
          <w:rFonts w:asciiTheme="majorHAnsi" w:hAnsiTheme="majorHAnsi" w:cs="Calibri"/>
          <w:b/>
          <w:sz w:val="24"/>
          <w:szCs w:val="24"/>
          <w:u w:val="single"/>
        </w:rPr>
        <w:t>çã</w:t>
      </w:r>
      <w:r w:rsidRPr="000906EA">
        <w:rPr>
          <w:rFonts w:asciiTheme="majorHAnsi" w:hAnsiTheme="majorHAnsi"/>
          <w:b/>
          <w:sz w:val="24"/>
          <w:szCs w:val="24"/>
          <w:u w:val="single"/>
        </w:rPr>
        <w:t xml:space="preserve">o de lei sobre determinadas condições ao funcionamento de estabelecimentos bancários. </w:t>
      </w:r>
      <w:r w:rsidRPr="000906EA">
        <w:rPr>
          <w:rFonts w:asciiTheme="majorHAnsi" w:hAnsiTheme="majorHAnsi"/>
          <w:sz w:val="24"/>
          <w:szCs w:val="24"/>
        </w:rPr>
        <w:t xml:space="preserve">Precedentes: agravo regimental no recurso extraordinário nº 747.757, relator ministro Ricardo Lewandowski, Segunda Turma, com acórdão publicado no Diário da Justiça de 13 de agosto de 2014; e agravo regimental no recurso extraordinário nº </w:t>
      </w:r>
      <w:r w:rsidRPr="000906EA">
        <w:rPr>
          <w:rFonts w:asciiTheme="majorHAnsi" w:hAnsiTheme="majorHAnsi"/>
          <w:sz w:val="24"/>
          <w:szCs w:val="24"/>
        </w:rPr>
        <w:lastRenderedPageBreak/>
        <w:t xml:space="preserve">774.305, relator ministro Luiz Fux, Primeira Turma, com acórdão veiculado no Diário da Justiça de 27 de abril de 2016. (RE 241611 </w:t>
      </w:r>
      <w:proofErr w:type="spellStart"/>
      <w:proofErr w:type="gramStart"/>
      <w:r w:rsidRPr="000906EA">
        <w:rPr>
          <w:rFonts w:asciiTheme="majorHAnsi" w:hAnsiTheme="majorHAnsi"/>
          <w:sz w:val="24"/>
          <w:szCs w:val="24"/>
        </w:rPr>
        <w:t>AgR</w:t>
      </w:r>
      <w:proofErr w:type="spellEnd"/>
      <w:proofErr w:type="gramEnd"/>
      <w:r w:rsidRPr="000906EA">
        <w:rPr>
          <w:rFonts w:asciiTheme="majorHAnsi" w:hAnsiTheme="majorHAnsi"/>
          <w:sz w:val="24"/>
          <w:szCs w:val="24"/>
        </w:rPr>
        <w:t xml:space="preserve">, Relator (a): Min. MARCO AURÉLIO, Primeira Turma, julgado em 18/09/2018, PROCESSO ELETRÔNICO DJe-210 DIVULG 01-10-2018 PUBLIC 02-10-2018) .(STF - </w:t>
      </w:r>
      <w:proofErr w:type="spellStart"/>
      <w:r w:rsidRPr="000906EA">
        <w:rPr>
          <w:rFonts w:asciiTheme="majorHAnsi" w:hAnsiTheme="majorHAnsi"/>
          <w:sz w:val="24"/>
          <w:szCs w:val="24"/>
        </w:rPr>
        <w:t>AgR</w:t>
      </w:r>
      <w:proofErr w:type="spellEnd"/>
      <w:r w:rsidRPr="000906EA">
        <w:rPr>
          <w:rFonts w:asciiTheme="majorHAnsi" w:hAnsiTheme="majorHAnsi"/>
          <w:sz w:val="24"/>
          <w:szCs w:val="24"/>
        </w:rPr>
        <w:t xml:space="preserve"> RE: 241611 RS - RIO GRANDE DO SUL, Relator: Min. MARCO AURÉLIO, Data de Julgamento: 18/09/2018, Primeira Turma, Data de Publicação: DJe-210 02-10-2018).</w:t>
      </w:r>
    </w:p>
    <w:p w14:paraId="24DC838E" w14:textId="77777777" w:rsidR="00047659" w:rsidRPr="000906EA" w:rsidRDefault="00047659" w:rsidP="00F975C1">
      <w:pPr>
        <w:spacing w:after="0" w:line="360" w:lineRule="auto"/>
        <w:ind w:left="567"/>
        <w:contextualSpacing/>
        <w:jc w:val="both"/>
        <w:rPr>
          <w:rFonts w:asciiTheme="majorHAnsi" w:hAnsiTheme="majorHAnsi"/>
          <w:sz w:val="24"/>
          <w:szCs w:val="24"/>
        </w:rPr>
      </w:pPr>
    </w:p>
    <w:p w14:paraId="3AAFA58B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 xml:space="preserve">Assim, dada </w:t>
      </w:r>
      <w:proofErr w:type="gramStart"/>
      <w:r w:rsidRPr="000906EA">
        <w:rPr>
          <w:rFonts w:asciiTheme="majorHAnsi" w:hAnsiTheme="majorHAnsi"/>
          <w:sz w:val="24"/>
          <w:szCs w:val="24"/>
        </w:rPr>
        <w:t>a</w:t>
      </w:r>
      <w:proofErr w:type="gramEnd"/>
      <w:r w:rsidRPr="000906EA">
        <w:rPr>
          <w:rFonts w:asciiTheme="majorHAnsi" w:hAnsiTheme="majorHAnsi"/>
          <w:sz w:val="24"/>
          <w:szCs w:val="24"/>
        </w:rPr>
        <w:t xml:space="preserve"> relevância do presente projeto de Lei para o Município e a validade formal e material da matéria, pede este Vereador a colaboração dos nobres Edis para a aprovação desta propositura.</w:t>
      </w:r>
    </w:p>
    <w:p w14:paraId="7F6E9FDB" w14:textId="77777777" w:rsidR="00047659" w:rsidRPr="000906EA" w:rsidRDefault="0004765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FEC1F8D" w14:textId="5E5DB745" w:rsidR="008E7F69" w:rsidRPr="000906EA" w:rsidRDefault="008E7F69" w:rsidP="00752E55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 w:rsidRPr="000906EA">
        <w:rPr>
          <w:rFonts w:asciiTheme="majorHAnsi" w:hAnsiTheme="majorHAnsi"/>
          <w:b/>
          <w:sz w:val="24"/>
          <w:szCs w:val="24"/>
        </w:rPr>
        <w:t>DO REQUERIMENTO DE REGIME DE URGÊNCIA ESPECIAL.</w:t>
      </w:r>
    </w:p>
    <w:p w14:paraId="40831633" w14:textId="77777777" w:rsidR="008E7F69" w:rsidRPr="000906EA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7FF78248" w14:textId="77777777" w:rsidR="008E7F69" w:rsidRPr="000906EA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>O art. 199, inciso I, do Regimento Interno prevê a possibilidade de regime de urgência especial às proposições.</w:t>
      </w:r>
    </w:p>
    <w:p w14:paraId="554E099A" w14:textId="77777777" w:rsidR="008E7F69" w:rsidRPr="000906EA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2DD3461E" w14:textId="77777777" w:rsidR="008E7F69" w:rsidRPr="000906EA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>O Regime de Urgência Especial é aquele pelo qual é “</w:t>
      </w:r>
      <w:r w:rsidRPr="000906EA">
        <w:rPr>
          <w:rFonts w:asciiTheme="majorHAnsi" w:hAnsiTheme="majorHAnsi"/>
          <w:i/>
          <w:sz w:val="24"/>
          <w:szCs w:val="24"/>
        </w:rPr>
        <w:t xml:space="preserve">Dispensada de exigências regimentais, salvo a de número legal, de parecer especial, para que a determinado projeto seja imediatamente considerado, a </w:t>
      </w:r>
      <w:r w:rsidRPr="000906EA">
        <w:rPr>
          <w:rFonts w:asciiTheme="majorHAnsi" w:hAnsiTheme="majorHAnsi"/>
          <w:b/>
          <w:i/>
          <w:sz w:val="24"/>
          <w:szCs w:val="24"/>
        </w:rPr>
        <w:t>fim de evitar grave prejuízo ou perda de oportunidade</w:t>
      </w:r>
      <w:r w:rsidRPr="000906EA">
        <w:rPr>
          <w:rFonts w:asciiTheme="majorHAnsi" w:hAnsiTheme="majorHAnsi"/>
          <w:i/>
          <w:sz w:val="24"/>
          <w:szCs w:val="24"/>
        </w:rPr>
        <w:t>”</w:t>
      </w:r>
      <w:r w:rsidRPr="000906EA">
        <w:rPr>
          <w:rFonts w:asciiTheme="majorHAnsi" w:hAnsiTheme="majorHAnsi"/>
          <w:sz w:val="24"/>
          <w:szCs w:val="24"/>
        </w:rPr>
        <w:t xml:space="preserve"> (art. 200 do Regimento Interno).</w:t>
      </w:r>
    </w:p>
    <w:p w14:paraId="1D35B954" w14:textId="77777777" w:rsidR="008E7F69" w:rsidRPr="000906EA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195668F6" w14:textId="535D65F3" w:rsidR="008E7F69" w:rsidRPr="000906EA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 xml:space="preserve">No presente caso, a urgência especial é </w:t>
      </w:r>
      <w:proofErr w:type="gramStart"/>
      <w:r w:rsidRPr="000906EA">
        <w:rPr>
          <w:rFonts w:asciiTheme="majorHAnsi" w:hAnsiTheme="majorHAnsi"/>
          <w:sz w:val="24"/>
          <w:szCs w:val="24"/>
        </w:rPr>
        <w:t>necessária para evitar grave prejuízo, por tratar de PANDEMIA (</w:t>
      </w:r>
      <w:r w:rsidRPr="000906EA">
        <w:rPr>
          <w:rFonts w:asciiTheme="majorHAnsi" w:hAnsiTheme="majorHAnsi"/>
          <w:b/>
          <w:bCs/>
          <w:sz w:val="24"/>
          <w:szCs w:val="24"/>
        </w:rPr>
        <w:t>epidemia de doença infecciosa que se espalha entre a população</w:t>
      </w:r>
      <w:r w:rsidRPr="000906EA">
        <w:rPr>
          <w:rFonts w:asciiTheme="majorHAnsi" w:hAnsiTheme="majorHAnsi"/>
          <w:sz w:val="24"/>
          <w:szCs w:val="24"/>
        </w:rPr>
        <w:t>), o</w:t>
      </w:r>
      <w:proofErr w:type="gramEnd"/>
      <w:r w:rsidRPr="000906EA">
        <w:rPr>
          <w:rFonts w:asciiTheme="majorHAnsi" w:hAnsiTheme="majorHAnsi"/>
          <w:sz w:val="24"/>
          <w:szCs w:val="24"/>
        </w:rPr>
        <w:t xml:space="preserve"> que por si só já mostra a necessidade de urgência na tramitação desta propositura, a fim resguardar a saúde e a vida dos que a norma pretende proteger</w:t>
      </w:r>
      <w:r w:rsidR="00F975C1" w:rsidRPr="000906EA">
        <w:rPr>
          <w:rFonts w:asciiTheme="majorHAnsi" w:hAnsiTheme="majorHAnsi"/>
          <w:sz w:val="24"/>
          <w:szCs w:val="24"/>
        </w:rPr>
        <w:t>, minimizando a exposição ao vírus.</w:t>
      </w:r>
    </w:p>
    <w:p w14:paraId="558E15D7" w14:textId="77777777" w:rsidR="008E7F69" w:rsidRPr="000906EA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6E8B0FF" w14:textId="7B77D987" w:rsidR="008E7F69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 xml:space="preserve">Não obstante, a urgência especial é necessária também para evitar perda de oportunidade, pois seu regramento é aplicável em tempo certo, ou seja, enquanto perdurar </w:t>
      </w:r>
      <w:r w:rsidR="00F975C1" w:rsidRPr="000906EA">
        <w:rPr>
          <w:rFonts w:asciiTheme="majorHAnsi" w:hAnsiTheme="majorHAnsi"/>
          <w:sz w:val="24"/>
          <w:szCs w:val="24"/>
        </w:rPr>
        <w:t>a Pandemia</w:t>
      </w:r>
      <w:r w:rsidRPr="000906EA">
        <w:rPr>
          <w:rFonts w:asciiTheme="majorHAnsi" w:hAnsiTheme="majorHAnsi"/>
          <w:sz w:val="24"/>
          <w:szCs w:val="24"/>
        </w:rPr>
        <w:t>.</w:t>
      </w:r>
    </w:p>
    <w:p w14:paraId="328EF110" w14:textId="77777777" w:rsidR="000906EA" w:rsidRDefault="000906EA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4229BE8A" w14:textId="50585099" w:rsidR="000906EA" w:rsidRPr="000906EA" w:rsidRDefault="000906EA" w:rsidP="000906EA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Vale mencionar que a</w:t>
      </w:r>
      <w:r w:rsidRPr="000906EA">
        <w:rPr>
          <w:rFonts w:asciiTheme="majorHAnsi" w:hAnsiTheme="majorHAnsi"/>
          <w:sz w:val="24"/>
          <w:szCs w:val="24"/>
        </w:rPr>
        <w:t xml:space="preserve"> data </w:t>
      </w:r>
      <w:proofErr w:type="gramStart"/>
      <w:r w:rsidRPr="000906EA">
        <w:rPr>
          <w:rFonts w:asciiTheme="majorHAnsi" w:hAnsiTheme="majorHAnsi"/>
          <w:sz w:val="24"/>
          <w:szCs w:val="24"/>
        </w:rPr>
        <w:t>da presente</w:t>
      </w:r>
      <w:proofErr w:type="gramEnd"/>
      <w:r w:rsidRPr="000906EA">
        <w:rPr>
          <w:rFonts w:asciiTheme="majorHAnsi" w:hAnsiTheme="majorHAnsi"/>
          <w:sz w:val="24"/>
          <w:szCs w:val="24"/>
        </w:rPr>
        <w:t xml:space="preserve"> propositura não retira o seu caráter de urgência, not</w:t>
      </w:r>
      <w:r>
        <w:rPr>
          <w:rFonts w:asciiTheme="majorHAnsi" w:hAnsiTheme="majorHAnsi"/>
          <w:sz w:val="24"/>
          <w:szCs w:val="24"/>
        </w:rPr>
        <w:t>ada</w:t>
      </w:r>
      <w:r w:rsidRPr="000906EA">
        <w:rPr>
          <w:rFonts w:asciiTheme="majorHAnsi" w:hAnsiTheme="majorHAnsi"/>
          <w:sz w:val="24"/>
          <w:szCs w:val="24"/>
        </w:rPr>
        <w:t xml:space="preserve">mente por que o número de contaminados e mortos em razão da epidemia COVID-19 é crescente. </w:t>
      </w:r>
    </w:p>
    <w:p w14:paraId="3FE10588" w14:textId="77777777" w:rsidR="00752E55" w:rsidRPr="000906EA" w:rsidRDefault="00752E55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</w:p>
    <w:p w14:paraId="580CF5B9" w14:textId="77777777" w:rsidR="008E7F69" w:rsidRPr="000906EA" w:rsidRDefault="008E7F69" w:rsidP="00F975C1">
      <w:pPr>
        <w:spacing w:after="0" w:line="360" w:lineRule="auto"/>
        <w:contextualSpacing/>
        <w:jc w:val="both"/>
        <w:rPr>
          <w:rFonts w:asciiTheme="majorHAnsi" w:hAnsiTheme="majorHAnsi"/>
          <w:sz w:val="24"/>
          <w:szCs w:val="24"/>
        </w:rPr>
      </w:pPr>
      <w:r w:rsidRPr="000906EA">
        <w:rPr>
          <w:rFonts w:asciiTheme="majorHAnsi" w:hAnsiTheme="majorHAnsi"/>
          <w:sz w:val="24"/>
          <w:szCs w:val="24"/>
        </w:rPr>
        <w:t>Por estas razões, requer a urgência especial para sua tramitação.</w:t>
      </w:r>
    </w:p>
    <w:p w14:paraId="68346B82" w14:textId="6158E3B5" w:rsidR="00CF09F7" w:rsidRPr="000906EA" w:rsidRDefault="00CF09F7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</w:p>
    <w:p w14:paraId="54285B92" w14:textId="643CBD16" w:rsidR="00752E55" w:rsidRPr="000906EA" w:rsidRDefault="00752E55" w:rsidP="00752E55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</w:pPr>
      <w:r w:rsidRPr="000906EA">
        <w:rPr>
          <w:rFonts w:asciiTheme="majorHAnsi" w:eastAsia="Times New Roman" w:hAnsiTheme="majorHAnsi" w:cs="Calibri"/>
          <w:color w:val="000000" w:themeColor="text1"/>
          <w:sz w:val="24"/>
          <w:szCs w:val="24"/>
          <w:shd w:val="clear" w:color="auto" w:fill="FFFFFF"/>
          <w:lang w:eastAsia="pt-BR"/>
        </w:rPr>
        <w:t>Câmara Municipal de Cordeirópolis, 28 de maio de 2020.</w:t>
      </w:r>
    </w:p>
    <w:p w14:paraId="6718CEF4" w14:textId="77777777" w:rsidR="000906EA" w:rsidRDefault="000906EA" w:rsidP="00752E55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lang w:eastAsia="pt-BR"/>
        </w:rPr>
      </w:pPr>
    </w:p>
    <w:p w14:paraId="2B4DC6F5" w14:textId="77777777" w:rsidR="00752E55" w:rsidRPr="000906EA" w:rsidRDefault="00752E55" w:rsidP="00752E55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lang w:eastAsia="pt-BR"/>
        </w:rPr>
        <w:br/>
      </w:r>
      <w:r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Jose </w:t>
      </w:r>
      <w:proofErr w:type="spellStart"/>
      <w:r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>Antonio</w:t>
      </w:r>
      <w:proofErr w:type="spellEnd"/>
      <w:r w:rsidRPr="000906EA">
        <w:rPr>
          <w:rFonts w:asciiTheme="majorHAnsi" w:eastAsia="Times New Roman" w:hAnsiTheme="majorHAnsi" w:cs="Calibri"/>
          <w:b/>
          <w:color w:val="000000" w:themeColor="text1"/>
          <w:sz w:val="24"/>
          <w:szCs w:val="24"/>
          <w:shd w:val="clear" w:color="auto" w:fill="FFFFFF"/>
          <w:lang w:eastAsia="pt-BR"/>
        </w:rPr>
        <w:t xml:space="preserve"> Rodrigues</w:t>
      </w:r>
    </w:p>
    <w:p w14:paraId="61D67374" w14:textId="77777777" w:rsidR="00752E55" w:rsidRPr="000906EA" w:rsidRDefault="00752E55" w:rsidP="00752E55">
      <w:pPr>
        <w:shd w:val="clear" w:color="auto" w:fill="FFFFFF" w:themeFill="background1"/>
        <w:spacing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0906EA">
        <w:rPr>
          <w:rFonts w:asciiTheme="majorHAnsi" w:hAnsiTheme="majorHAnsi"/>
          <w:b/>
          <w:color w:val="000000" w:themeColor="text1"/>
          <w:sz w:val="24"/>
          <w:szCs w:val="24"/>
        </w:rPr>
        <w:t>Vereador – MDB</w:t>
      </w:r>
    </w:p>
    <w:p w14:paraId="2A247850" w14:textId="77777777" w:rsidR="00752E55" w:rsidRPr="000906EA" w:rsidRDefault="00752E55" w:rsidP="00F975C1">
      <w:pPr>
        <w:shd w:val="clear" w:color="auto" w:fill="FFFFFF" w:themeFill="background1"/>
        <w:spacing w:line="360" w:lineRule="auto"/>
        <w:contextualSpacing/>
        <w:jc w:val="both"/>
        <w:rPr>
          <w:rFonts w:asciiTheme="majorHAnsi" w:hAnsiTheme="majorHAnsi"/>
          <w:bCs/>
          <w:color w:val="000000" w:themeColor="text1"/>
          <w:sz w:val="24"/>
          <w:szCs w:val="24"/>
        </w:rPr>
      </w:pPr>
    </w:p>
    <w:sectPr w:rsidR="00752E55" w:rsidRPr="000906EA" w:rsidSect="000906EA">
      <w:pgSz w:w="11906" w:h="16838" w:code="9"/>
      <w:pgMar w:top="1701" w:right="1701" w:bottom="1418" w:left="1701" w:header="709" w:footer="709" w:gutter="0"/>
      <w:paperSrc w:first="260" w:other="260"/>
      <w:cols w:space="708"/>
      <w:docGrid w:linePitch="360"/>
      <w:headerReference w:type="default" r:id="R8dd86bcff30741d7"/>
      <w:headerReference w:type="even" r:id="R92fd248bb5b440a7"/>
      <w:headerReference w:type="first" r:id="R6342b873aa3e40c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5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0192a0622541fa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D81"/>
    <w:multiLevelType w:val="multilevel"/>
    <w:tmpl w:val="BC96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403"/>
    <w:rsid w:val="00047659"/>
    <w:rsid w:val="000906EA"/>
    <w:rsid w:val="002F23F9"/>
    <w:rsid w:val="00404236"/>
    <w:rsid w:val="004C210A"/>
    <w:rsid w:val="00504403"/>
    <w:rsid w:val="006334F3"/>
    <w:rsid w:val="00752E55"/>
    <w:rsid w:val="0075367C"/>
    <w:rsid w:val="008D0A46"/>
    <w:rsid w:val="008E7F69"/>
    <w:rsid w:val="00915E9D"/>
    <w:rsid w:val="00A822D1"/>
    <w:rsid w:val="00AA7F18"/>
    <w:rsid w:val="00CF09F7"/>
    <w:rsid w:val="00CF445E"/>
    <w:rsid w:val="00F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5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D1"/>
  </w:style>
  <w:style w:type="paragraph" w:styleId="Ttulo1">
    <w:name w:val="heading 1"/>
    <w:basedOn w:val="Normal"/>
    <w:link w:val="Ttulo1Char"/>
    <w:uiPriority w:val="9"/>
    <w:qFormat/>
    <w:rsid w:val="00504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04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44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044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504403"/>
  </w:style>
  <w:style w:type="paragraph" w:customStyle="1" w:styleId="A090975">
    <w:name w:val="_A090975"/>
    <w:basedOn w:val="Normal"/>
    <w:rsid w:val="008D0A46"/>
    <w:pPr>
      <w:widowControl w:val="0"/>
      <w:spacing w:after="0" w:line="240" w:lineRule="auto"/>
      <w:ind w:left="1152" w:firstLine="115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D1"/>
  </w:style>
  <w:style w:type="paragraph" w:styleId="Ttulo1">
    <w:name w:val="heading 1"/>
    <w:basedOn w:val="Normal"/>
    <w:link w:val="Ttulo1Char"/>
    <w:uiPriority w:val="9"/>
    <w:qFormat/>
    <w:rsid w:val="005044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5044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440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044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504403"/>
  </w:style>
  <w:style w:type="paragraph" w:customStyle="1" w:styleId="A090975">
    <w:name w:val="_A090975"/>
    <w:basedOn w:val="Normal"/>
    <w:rsid w:val="008D0A46"/>
    <w:pPr>
      <w:widowControl w:val="0"/>
      <w:spacing w:after="0" w:line="240" w:lineRule="auto"/>
      <w:ind w:left="1152" w:firstLine="1152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/word/header1.xml" Id="R8dd86bcff30741d7" /><Relationship Type="http://schemas.openxmlformats.org/officeDocument/2006/relationships/header" Target="/word/header2.xml" Id="R92fd248bb5b440a7" /><Relationship Type="http://schemas.openxmlformats.org/officeDocument/2006/relationships/header" Target="/word/header3.xml" Id="R6342b873aa3e40c6" /><Relationship Type="http://schemas.openxmlformats.org/officeDocument/2006/relationships/image" Target="/word/media/89c94494-5fe5-4c51-972a-4030a054d77b.png" Id="R6738bca373454d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c94494-5fe5-4c51-972a-4030a054d77b.png" Id="R160192a0622541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1314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3</cp:revision>
  <cp:lastPrinted>2020-05-28T16:07:00Z</cp:lastPrinted>
  <dcterms:created xsi:type="dcterms:W3CDTF">2020-05-27T21:09:00Z</dcterms:created>
  <dcterms:modified xsi:type="dcterms:W3CDTF">2020-05-28T16:07:00Z</dcterms:modified>
</cp:coreProperties>
</file>