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B67" w:rsidRDefault="005D2B67" w:rsidP="005D2B67">
      <w:pPr>
        <w:autoSpaceDE w:val="0"/>
        <w:spacing w:after="0"/>
        <w:jc w:val="center"/>
        <w:rPr>
          <w:rFonts w:ascii="Arial" w:eastAsia="DejaVu Sans" w:hAnsi="Arial" w:cs="Arial"/>
          <w:b/>
          <w:bCs/>
          <w:color w:val="000000"/>
          <w:sz w:val="26"/>
          <w:szCs w:val="26"/>
          <w:u w:val="single"/>
          <w:lang/>
        </w:rPr>
      </w:pPr>
      <w:r>
        <w:rPr>
          <w:rFonts w:ascii="Arial" w:eastAsia="DejaVu Sans" w:hAnsi="Arial" w:cs="Arial"/>
          <w:b/>
          <w:bCs/>
          <w:color w:val="000000"/>
          <w:sz w:val="26"/>
          <w:szCs w:val="26"/>
          <w:u w:val="single"/>
          <w:lang/>
        </w:rPr>
        <w:t>Autógrafo</w:t>
      </w:r>
      <w:r w:rsidRPr="00CE3862">
        <w:rPr>
          <w:rFonts w:ascii="Arial" w:eastAsia="DejaVu Sans" w:hAnsi="Arial" w:cs="Arial"/>
          <w:b/>
          <w:bCs/>
          <w:color w:val="000000"/>
          <w:sz w:val="26"/>
          <w:szCs w:val="26"/>
          <w:u w:val="single"/>
          <w:lang/>
        </w:rPr>
        <w:t xml:space="preserve"> nº</w:t>
      </w:r>
      <w:r>
        <w:rPr>
          <w:rFonts w:ascii="Arial" w:eastAsia="DejaVu Sans" w:hAnsi="Arial" w:cs="Arial"/>
          <w:b/>
          <w:bCs/>
          <w:color w:val="000000"/>
          <w:sz w:val="26"/>
          <w:szCs w:val="26"/>
          <w:u w:val="single"/>
          <w:lang/>
        </w:rPr>
        <w:t xml:space="preserve"> 34</w:t>
      </w:r>
      <w:r w:rsidR="00A15A38">
        <w:rPr>
          <w:rFonts w:ascii="Arial" w:eastAsia="DejaVu Sans" w:hAnsi="Arial" w:cs="Arial"/>
          <w:b/>
          <w:bCs/>
          <w:color w:val="000000"/>
          <w:sz w:val="26"/>
          <w:szCs w:val="26"/>
          <w:u w:val="single"/>
          <w:lang/>
        </w:rPr>
        <w:t>8</w:t>
      </w:r>
      <w:r w:rsidR="00BD4C3E">
        <w:rPr>
          <w:rFonts w:ascii="Arial" w:eastAsia="DejaVu Sans" w:hAnsi="Arial" w:cs="Arial"/>
          <w:b/>
          <w:bCs/>
          <w:color w:val="000000"/>
          <w:sz w:val="26"/>
          <w:szCs w:val="26"/>
          <w:u w:val="single"/>
          <w:lang/>
        </w:rPr>
        <w:t>2</w:t>
      </w:r>
    </w:p>
    <w:p w:rsidR="005D2B67" w:rsidRPr="00CE3862" w:rsidRDefault="005D2B67" w:rsidP="005D2B67">
      <w:pPr>
        <w:autoSpaceDE w:val="0"/>
        <w:spacing w:after="0"/>
        <w:jc w:val="center"/>
        <w:rPr>
          <w:rFonts w:ascii="Arial" w:eastAsia="DejaVu Sans" w:hAnsi="Arial" w:cs="Arial"/>
          <w:b/>
          <w:bCs/>
          <w:color w:val="000000"/>
          <w:sz w:val="26"/>
          <w:szCs w:val="26"/>
          <w:u w:val="single"/>
          <w:lang/>
        </w:rPr>
      </w:pPr>
    </w:p>
    <w:p w:rsidR="00BD4C3E" w:rsidRPr="0045070B" w:rsidRDefault="00BD4C3E" w:rsidP="00BD4C3E">
      <w:pPr>
        <w:pStyle w:val="Recuodecorpodetexto31"/>
        <w:ind w:left="3686" w:right="-285"/>
        <w:rPr>
          <w:rFonts w:eastAsia="DejaVu Sans"/>
          <w:b/>
          <w:bCs/>
          <w:lang/>
        </w:rPr>
      </w:pPr>
      <w:r w:rsidRPr="0045070B">
        <w:rPr>
          <w:rFonts w:eastAsia="DejaVu Sans"/>
          <w:b/>
          <w:bCs/>
          <w:lang/>
        </w:rPr>
        <w:t>Dá nova redação ao artigo 1º da Lei Complementar nº 275, de 29 de abril de 2019, que acrescenta dispositivos na Lei Municipal nº 1.579, de 13 de dezembro de 1989, com posteriores alterações (Institui o Código de Posturas do Município de Cordeirópolis), conforme especifica.</w:t>
      </w:r>
    </w:p>
    <w:p w:rsidR="00BD4C3E" w:rsidRPr="0045070B" w:rsidRDefault="00BD4C3E" w:rsidP="00BD4C3E">
      <w:pPr>
        <w:snapToGrid w:val="0"/>
        <w:spacing w:after="0"/>
        <w:ind w:left="4536" w:right="107"/>
        <w:jc w:val="both"/>
        <w:rPr>
          <w:rFonts w:ascii="Arial" w:eastAsia="DejaVu Sans" w:hAnsi="Arial" w:cs="Arial"/>
          <w:b/>
          <w:sz w:val="25"/>
          <w:szCs w:val="25"/>
          <w:lang w:bidi="pt-BR"/>
        </w:rPr>
      </w:pPr>
    </w:p>
    <w:p w:rsidR="00BD4C3E" w:rsidRPr="000156BB" w:rsidRDefault="00BD4C3E" w:rsidP="00BD4C3E">
      <w:pPr>
        <w:shd w:val="clear" w:color="auto" w:fill="FFFFFF"/>
        <w:tabs>
          <w:tab w:val="left" w:pos="8505"/>
        </w:tabs>
        <w:autoSpaceDE w:val="0"/>
        <w:snapToGrid w:val="0"/>
        <w:spacing w:after="0" w:line="100" w:lineRule="atLeast"/>
        <w:ind w:right="-285"/>
        <w:jc w:val="both"/>
        <w:rPr>
          <w:rStyle w:val="Forte"/>
          <w:rFonts w:ascii="Arial" w:eastAsia="DejaVu Sans" w:hAnsi="Arial" w:cs="Arial"/>
          <w:b w:val="0"/>
          <w:sz w:val="26"/>
          <w:szCs w:val="26"/>
          <w:lang w:val="pt-PT"/>
        </w:rPr>
      </w:pPr>
      <w:r>
        <w:rPr>
          <w:rStyle w:val="Forte"/>
          <w:rFonts w:ascii="Arial" w:eastAsia="DejaVu Sans" w:hAnsi="Arial" w:cs="Arial"/>
          <w:b w:val="0"/>
          <w:sz w:val="26"/>
          <w:szCs w:val="26"/>
          <w:lang w:val="pt-PT"/>
        </w:rPr>
        <w:t>A Câmara Municipal de Cordeirópolis decreta:</w:t>
      </w:r>
    </w:p>
    <w:p w:rsidR="00BD4C3E" w:rsidRPr="000156BB" w:rsidRDefault="00BD4C3E" w:rsidP="00BD4C3E">
      <w:pPr>
        <w:shd w:val="clear" w:color="auto" w:fill="FFFFFF"/>
        <w:tabs>
          <w:tab w:val="left" w:pos="0"/>
        </w:tabs>
        <w:autoSpaceDE w:val="0"/>
        <w:snapToGrid w:val="0"/>
        <w:spacing w:after="0" w:line="100" w:lineRule="atLeast"/>
        <w:ind w:right="-1"/>
        <w:jc w:val="both"/>
        <w:rPr>
          <w:rFonts w:ascii="Arial" w:eastAsia="DejaVu Sans" w:hAnsi="Arial" w:cs="Arial"/>
          <w:sz w:val="26"/>
          <w:szCs w:val="26"/>
          <w:lang/>
        </w:rPr>
      </w:pPr>
    </w:p>
    <w:p w:rsidR="00BD4C3E" w:rsidRPr="0045070B" w:rsidRDefault="00BD4C3E" w:rsidP="00BD4C3E">
      <w:pPr>
        <w:spacing w:after="0"/>
        <w:jc w:val="both"/>
        <w:rPr>
          <w:rFonts w:ascii="Arial" w:eastAsia="DejaVu Sans" w:hAnsi="Arial" w:cs="Arial"/>
          <w:sz w:val="26"/>
          <w:szCs w:val="26"/>
          <w:lang/>
        </w:rPr>
      </w:pPr>
      <w:r w:rsidRPr="0045070B">
        <w:rPr>
          <w:rFonts w:ascii="Arial" w:eastAsia="DejaVu Sans" w:hAnsi="Arial" w:cs="Arial"/>
          <w:b/>
          <w:bCs/>
          <w:sz w:val="26"/>
          <w:szCs w:val="26"/>
          <w:u w:val="single"/>
          <w:lang/>
        </w:rPr>
        <w:t xml:space="preserve">Art. 1º </w:t>
      </w:r>
      <w:r w:rsidRPr="0045070B">
        <w:rPr>
          <w:rFonts w:ascii="Arial" w:eastAsia="DejaVu Sans" w:hAnsi="Arial" w:cs="Arial"/>
          <w:sz w:val="26"/>
          <w:szCs w:val="26"/>
          <w:lang/>
        </w:rPr>
        <w:t>- O artigo 1º da Lei Complementar nº 275, de 29 de abril de 2019, passa a vigorar com a seguinte redação:</w:t>
      </w:r>
    </w:p>
    <w:p w:rsidR="00BD4C3E" w:rsidRPr="0045070B" w:rsidRDefault="00BD4C3E" w:rsidP="00BD4C3E">
      <w:pPr>
        <w:spacing w:after="0"/>
        <w:jc w:val="both"/>
        <w:rPr>
          <w:rFonts w:ascii="Arial" w:eastAsia="DejaVu Sans" w:hAnsi="Arial" w:cs="Arial"/>
          <w:sz w:val="24"/>
          <w:szCs w:val="24"/>
          <w:lang/>
        </w:rPr>
      </w:pPr>
    </w:p>
    <w:p w:rsidR="00BD4C3E" w:rsidRPr="0045070B" w:rsidRDefault="00BD4C3E" w:rsidP="00BD4C3E">
      <w:pPr>
        <w:spacing w:after="0"/>
        <w:jc w:val="both"/>
        <w:rPr>
          <w:rFonts w:ascii="Arial" w:eastAsia="DejaVu Sans" w:hAnsi="Arial" w:cs="Arial"/>
          <w:sz w:val="26"/>
          <w:szCs w:val="26"/>
          <w:lang/>
        </w:rPr>
      </w:pPr>
      <w:r w:rsidRPr="0045070B">
        <w:rPr>
          <w:rFonts w:ascii="Arial" w:eastAsia="DejaVu Sans" w:hAnsi="Arial" w:cs="Arial"/>
          <w:b/>
          <w:bCs/>
          <w:sz w:val="26"/>
          <w:szCs w:val="26"/>
          <w:lang/>
        </w:rPr>
        <w:tab/>
      </w:r>
      <w:r w:rsidRPr="0045070B">
        <w:rPr>
          <w:rFonts w:ascii="Arial" w:eastAsia="DejaVu Sans" w:hAnsi="Arial" w:cs="Arial"/>
          <w:b/>
          <w:bCs/>
          <w:sz w:val="26"/>
          <w:szCs w:val="26"/>
          <w:u w:val="single"/>
          <w:lang/>
        </w:rPr>
        <w:t xml:space="preserve">“Art. 1º </w:t>
      </w:r>
      <w:r w:rsidRPr="0045070B">
        <w:rPr>
          <w:rFonts w:ascii="Arial" w:eastAsia="DejaVu Sans" w:hAnsi="Arial" w:cs="Arial"/>
          <w:sz w:val="26"/>
          <w:szCs w:val="26"/>
          <w:lang/>
        </w:rPr>
        <w:t xml:space="preserve">- O artigo 81 da Lei Municipal nº 1.579, de 13 de dezembro de 1989, com posteriores alterações, passa a vigorar </w:t>
      </w:r>
      <w:r>
        <w:rPr>
          <w:rFonts w:ascii="Arial" w:eastAsia="DejaVu Sans" w:hAnsi="Arial" w:cs="Arial"/>
          <w:sz w:val="26"/>
          <w:szCs w:val="26"/>
          <w:lang/>
        </w:rPr>
        <w:t>acrescido</w:t>
      </w:r>
      <w:r w:rsidRPr="0045070B">
        <w:rPr>
          <w:rFonts w:ascii="Arial" w:eastAsia="DejaVu Sans" w:hAnsi="Arial" w:cs="Arial"/>
          <w:sz w:val="26"/>
          <w:szCs w:val="26"/>
          <w:lang/>
        </w:rPr>
        <w:t xml:space="preserve"> dos </w:t>
      </w:r>
      <w:r w:rsidRPr="0045070B">
        <w:rPr>
          <w:rFonts w:ascii="Arial" w:eastAsia="DejaVu Sans" w:hAnsi="Arial" w:cs="Arial"/>
          <w:b/>
          <w:bCs/>
          <w:sz w:val="26"/>
          <w:szCs w:val="26"/>
          <w:lang/>
        </w:rPr>
        <w:t>§ 8º e 9º</w:t>
      </w:r>
      <w:r w:rsidRPr="0045070B">
        <w:rPr>
          <w:rFonts w:ascii="Arial" w:eastAsia="DejaVu Sans" w:hAnsi="Arial" w:cs="Arial"/>
          <w:sz w:val="26"/>
          <w:szCs w:val="26"/>
          <w:lang/>
        </w:rPr>
        <w:t>:</w:t>
      </w:r>
    </w:p>
    <w:p w:rsidR="00BD4C3E" w:rsidRPr="0045070B" w:rsidRDefault="00BD4C3E" w:rsidP="00BD4C3E">
      <w:pPr>
        <w:spacing w:after="0"/>
        <w:jc w:val="both"/>
        <w:rPr>
          <w:rFonts w:ascii="Arial" w:eastAsia="DejaVu Sans" w:hAnsi="Arial" w:cs="Arial"/>
          <w:sz w:val="26"/>
          <w:szCs w:val="26"/>
          <w:lang/>
        </w:rPr>
      </w:pPr>
    </w:p>
    <w:p w:rsidR="00BD4C3E" w:rsidRPr="0045070B" w:rsidRDefault="00BD4C3E" w:rsidP="00BD4C3E">
      <w:pPr>
        <w:spacing w:after="0"/>
        <w:ind w:firstLine="708"/>
        <w:jc w:val="both"/>
        <w:rPr>
          <w:rFonts w:ascii="Arial" w:eastAsia="DejaVu Sans" w:hAnsi="Arial" w:cs="Arial"/>
          <w:sz w:val="26"/>
          <w:szCs w:val="26"/>
          <w:lang/>
        </w:rPr>
      </w:pPr>
      <w:r w:rsidRPr="0045070B">
        <w:rPr>
          <w:rFonts w:ascii="Arial" w:eastAsia="DejaVu Sans" w:hAnsi="Arial" w:cs="Arial"/>
          <w:b/>
          <w:sz w:val="26"/>
          <w:szCs w:val="26"/>
          <w:u w:val="single"/>
          <w:lang/>
        </w:rPr>
        <w:t>“§ 8º</w:t>
      </w:r>
      <w:r w:rsidRPr="0045070B">
        <w:rPr>
          <w:rFonts w:ascii="Arial" w:eastAsia="DejaVu Sans" w:hAnsi="Arial" w:cs="Arial"/>
          <w:sz w:val="26"/>
          <w:szCs w:val="26"/>
          <w:lang/>
        </w:rPr>
        <w:t xml:space="preserve"> - Caso o proprietário notificado não proceda a limpeza do terreno no prazo de 15 (quinze) dias da notificação, a Prefeitura Municipal poderá multar o proprietário em 200 (duzentas) UFIRCO.</w:t>
      </w:r>
    </w:p>
    <w:p w:rsidR="00BD4C3E" w:rsidRPr="0045070B" w:rsidRDefault="00BD4C3E" w:rsidP="00BD4C3E">
      <w:pPr>
        <w:spacing w:after="0"/>
        <w:jc w:val="both"/>
        <w:rPr>
          <w:rFonts w:ascii="Arial" w:eastAsia="DejaVu Sans" w:hAnsi="Arial" w:cs="Arial"/>
          <w:sz w:val="26"/>
          <w:szCs w:val="26"/>
          <w:lang/>
        </w:rPr>
      </w:pPr>
    </w:p>
    <w:p w:rsidR="00BD4C3E" w:rsidRPr="0045070B" w:rsidRDefault="00BD4C3E" w:rsidP="00BD4C3E">
      <w:pPr>
        <w:spacing w:after="0"/>
        <w:ind w:firstLine="708"/>
        <w:jc w:val="both"/>
        <w:rPr>
          <w:rFonts w:ascii="Arial" w:eastAsia="DejaVu Sans" w:hAnsi="Arial" w:cs="Arial"/>
          <w:sz w:val="26"/>
          <w:szCs w:val="26"/>
          <w:lang/>
        </w:rPr>
      </w:pPr>
      <w:r w:rsidRPr="0045070B">
        <w:rPr>
          <w:rFonts w:ascii="Arial" w:eastAsia="DejaVu Sans" w:hAnsi="Arial" w:cs="Arial"/>
          <w:b/>
          <w:sz w:val="26"/>
          <w:szCs w:val="26"/>
          <w:u w:val="single"/>
          <w:lang/>
        </w:rPr>
        <w:t>§ 9º</w:t>
      </w:r>
      <w:r w:rsidRPr="0045070B">
        <w:rPr>
          <w:rFonts w:ascii="Arial" w:eastAsia="DejaVu Sans" w:hAnsi="Arial" w:cs="Arial"/>
          <w:sz w:val="26"/>
          <w:szCs w:val="26"/>
          <w:lang/>
        </w:rPr>
        <w:t xml:space="preserve"> - O valor da multa será dobrado caso o proprietário não tome providências no prazo de 30 dias após a primeira multa.”</w:t>
      </w:r>
    </w:p>
    <w:p w:rsidR="00BD4C3E" w:rsidRPr="0045070B" w:rsidRDefault="00BD4C3E" w:rsidP="00BD4C3E">
      <w:pPr>
        <w:spacing w:after="0"/>
        <w:jc w:val="both"/>
        <w:rPr>
          <w:rFonts w:ascii="Arial" w:eastAsia="DejaVu Sans" w:hAnsi="Arial" w:cs="Arial"/>
          <w:sz w:val="26"/>
          <w:szCs w:val="26"/>
          <w:lang w:val="pt-PT" w:bidi="pt-BR"/>
        </w:rPr>
      </w:pPr>
    </w:p>
    <w:p w:rsidR="005D2B67" w:rsidRPr="00CE3862" w:rsidRDefault="00BD4C3E" w:rsidP="00BD4C3E">
      <w:pPr>
        <w:autoSpaceDE w:val="0"/>
        <w:spacing w:after="0"/>
        <w:jc w:val="both"/>
        <w:rPr>
          <w:rFonts w:ascii="Arial" w:eastAsia="DejaVu Sans" w:hAnsi="Arial" w:cs="Arial"/>
          <w:b/>
          <w:bCs/>
          <w:color w:val="000000"/>
          <w:sz w:val="26"/>
          <w:szCs w:val="26"/>
          <w:lang/>
        </w:rPr>
      </w:pPr>
      <w:r w:rsidRPr="0045070B">
        <w:rPr>
          <w:rFonts w:ascii="Arial" w:eastAsia="DejaVu Sans" w:hAnsi="Arial" w:cs="Arial"/>
          <w:b/>
          <w:bCs/>
          <w:sz w:val="26"/>
          <w:szCs w:val="26"/>
          <w:u w:val="single"/>
          <w:lang/>
        </w:rPr>
        <w:t>Art. 2°</w:t>
      </w:r>
      <w:r w:rsidRPr="0045070B">
        <w:rPr>
          <w:rFonts w:ascii="Arial" w:eastAsia="DejaVu Sans" w:hAnsi="Arial" w:cs="Arial"/>
          <w:sz w:val="26"/>
          <w:szCs w:val="26"/>
          <w:lang/>
        </w:rPr>
        <w:t xml:space="preserve"> - Esta Lei Complementar entra em vigor na data de sua publicação</w:t>
      </w:r>
    </w:p>
    <w:p w:rsidR="00BD4C3E" w:rsidRDefault="00BD4C3E" w:rsidP="005D2B67">
      <w:pPr>
        <w:spacing w:after="0"/>
        <w:jc w:val="center"/>
        <w:rPr>
          <w:rFonts w:ascii="Arial" w:eastAsia="DejaVu Sans" w:hAnsi="Arial" w:cs="Arial"/>
          <w:sz w:val="26"/>
          <w:szCs w:val="26"/>
          <w:lang/>
        </w:rPr>
      </w:pPr>
    </w:p>
    <w:p w:rsidR="00BD4C3E" w:rsidRDefault="00BD4C3E" w:rsidP="005D2B67">
      <w:pPr>
        <w:spacing w:after="0"/>
        <w:jc w:val="center"/>
        <w:rPr>
          <w:rFonts w:ascii="Arial" w:eastAsia="DejaVu Sans" w:hAnsi="Arial" w:cs="Arial"/>
          <w:sz w:val="26"/>
          <w:szCs w:val="26"/>
          <w:lang/>
        </w:rPr>
      </w:pPr>
    </w:p>
    <w:p w:rsidR="00BD4C3E" w:rsidRDefault="005D2B67" w:rsidP="00BD4C3E">
      <w:pPr>
        <w:spacing w:after="0"/>
        <w:jc w:val="center"/>
        <w:rPr>
          <w:rFonts w:ascii="Arial" w:eastAsia="DejaVu Sans" w:hAnsi="Arial" w:cs="Arial"/>
          <w:sz w:val="26"/>
          <w:szCs w:val="26"/>
          <w:lang/>
        </w:rPr>
      </w:pPr>
      <w:r w:rsidRPr="005D2B67">
        <w:rPr>
          <w:rFonts w:ascii="Arial" w:eastAsia="DejaVu Sans" w:hAnsi="Arial" w:cs="Arial"/>
          <w:sz w:val="26"/>
          <w:szCs w:val="26"/>
          <w:lang/>
        </w:rPr>
        <w:t>Câmara Municipal de Cordeirópolis, 17 de dezembro de 201</w:t>
      </w:r>
      <w:r w:rsidR="00BD4C3E">
        <w:rPr>
          <w:rFonts w:ascii="Arial" w:eastAsia="DejaVu Sans" w:hAnsi="Arial" w:cs="Arial"/>
          <w:sz w:val="26"/>
          <w:szCs w:val="26"/>
          <w:lang/>
        </w:rPr>
        <w:t>9</w:t>
      </w:r>
    </w:p>
    <w:p w:rsidR="00BD4C3E" w:rsidRDefault="00BD4C3E" w:rsidP="00BD4C3E">
      <w:pPr>
        <w:spacing w:after="0"/>
        <w:jc w:val="center"/>
        <w:rPr>
          <w:rFonts w:ascii="Arial" w:eastAsia="DejaVu Sans" w:hAnsi="Arial" w:cs="Arial"/>
          <w:sz w:val="26"/>
          <w:szCs w:val="26"/>
          <w:lang/>
        </w:rPr>
      </w:pPr>
    </w:p>
    <w:p w:rsidR="00BD4C3E" w:rsidRDefault="00BD4C3E" w:rsidP="00BD4C3E">
      <w:pPr>
        <w:spacing w:after="0"/>
        <w:jc w:val="center"/>
        <w:rPr>
          <w:rFonts w:ascii="Arial" w:eastAsia="DejaVu Sans" w:hAnsi="Arial" w:cs="Arial"/>
          <w:sz w:val="26"/>
          <w:szCs w:val="26"/>
          <w:lang/>
        </w:rPr>
      </w:pPr>
    </w:p>
    <w:p w:rsidR="00BD4C3E" w:rsidRDefault="00BD4C3E" w:rsidP="00BD4C3E">
      <w:pPr>
        <w:spacing w:after="0"/>
        <w:jc w:val="center"/>
        <w:rPr>
          <w:rFonts w:ascii="Arial" w:eastAsia="DejaVu Sans" w:hAnsi="Arial" w:cs="Arial"/>
          <w:sz w:val="26"/>
          <w:szCs w:val="26"/>
          <w:lang/>
        </w:rPr>
      </w:pPr>
      <w:bookmarkStart w:id="0" w:name="_GoBack"/>
      <w:bookmarkEnd w:id="0"/>
    </w:p>
    <w:p w:rsidR="00BD4C3E" w:rsidRDefault="005D2B67" w:rsidP="00BD4C3E">
      <w:pPr>
        <w:spacing w:after="0"/>
        <w:jc w:val="center"/>
        <w:rPr>
          <w:rFonts w:ascii="Arial" w:hAnsi="Arial" w:cs="Arial"/>
          <w:b/>
          <w:bCs/>
          <w:sz w:val="24"/>
          <w:szCs w:val="24"/>
        </w:rPr>
      </w:pPr>
      <w:r w:rsidRPr="006840F8">
        <w:rPr>
          <w:rFonts w:ascii="Arial" w:hAnsi="Arial" w:cs="Arial"/>
          <w:b/>
          <w:bCs/>
          <w:sz w:val="24"/>
          <w:szCs w:val="24"/>
        </w:rPr>
        <w:t>Verª. Cássia de Moraes</w:t>
      </w:r>
    </w:p>
    <w:p w:rsidR="005D2B67" w:rsidRDefault="005D2B67" w:rsidP="00BD4C3E">
      <w:pPr>
        <w:spacing w:after="0"/>
        <w:jc w:val="center"/>
        <w:rPr>
          <w:rFonts w:ascii="Arial" w:hAnsi="Arial" w:cs="Arial"/>
          <w:b/>
          <w:bCs/>
          <w:sz w:val="24"/>
          <w:szCs w:val="24"/>
        </w:rPr>
      </w:pPr>
      <w:r w:rsidRPr="006840F8">
        <w:rPr>
          <w:rFonts w:ascii="Arial" w:hAnsi="Arial" w:cs="Arial"/>
          <w:b/>
          <w:bCs/>
          <w:sz w:val="24"/>
          <w:szCs w:val="24"/>
        </w:rPr>
        <w:t>Presidente</w:t>
      </w:r>
    </w:p>
    <w:p w:rsidR="00BD4C3E" w:rsidRDefault="00BD4C3E" w:rsidP="00BD4C3E">
      <w:pPr>
        <w:spacing w:after="0"/>
        <w:jc w:val="center"/>
        <w:rPr>
          <w:rFonts w:ascii="Arial" w:hAnsi="Arial" w:cs="Arial"/>
          <w:b/>
          <w:bCs/>
          <w:sz w:val="24"/>
          <w:szCs w:val="24"/>
        </w:rPr>
      </w:pPr>
    </w:p>
    <w:p w:rsidR="00BD4C3E" w:rsidRDefault="00BD4C3E" w:rsidP="00BD4C3E">
      <w:pPr>
        <w:spacing w:after="0"/>
        <w:jc w:val="center"/>
        <w:rPr>
          <w:rFonts w:ascii="Arial" w:hAnsi="Arial" w:cs="Arial"/>
          <w:b/>
          <w:bCs/>
          <w:sz w:val="24"/>
          <w:szCs w:val="24"/>
        </w:rPr>
      </w:pPr>
    </w:p>
    <w:p w:rsidR="00BD4C3E" w:rsidRDefault="00BD4C3E" w:rsidP="00BD4C3E">
      <w:pPr>
        <w:spacing w:after="0"/>
        <w:jc w:val="center"/>
        <w:rPr>
          <w:rFonts w:ascii="Arial" w:hAnsi="Arial" w:cs="Arial"/>
          <w:b/>
          <w:bCs/>
          <w:sz w:val="24"/>
          <w:szCs w:val="24"/>
        </w:rPr>
      </w:pPr>
    </w:p>
    <w:p w:rsidR="00BD4C3E" w:rsidRDefault="00BD4C3E" w:rsidP="00BD4C3E">
      <w:pPr>
        <w:spacing w:after="0"/>
        <w:jc w:val="center"/>
        <w:rPr>
          <w:rFonts w:ascii="Arial" w:hAnsi="Arial" w:cs="Arial"/>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BD4C3E" w:rsidRPr="006840F8" w:rsidTr="00EF029A">
        <w:tc>
          <w:tcPr>
            <w:tcW w:w="4460" w:type="dxa"/>
          </w:tcPr>
          <w:p w:rsidR="00BD4C3E" w:rsidRPr="006840F8" w:rsidRDefault="00BD4C3E" w:rsidP="00EF029A">
            <w:pPr>
              <w:keepNext/>
              <w:widowControl w:val="0"/>
              <w:autoSpaceDE w:val="0"/>
              <w:jc w:val="center"/>
              <w:rPr>
                <w:rFonts w:ascii="Arial" w:hAnsi="Arial" w:cs="Arial"/>
                <w:b/>
                <w:bCs/>
                <w:sz w:val="24"/>
                <w:szCs w:val="24"/>
              </w:rPr>
            </w:pPr>
            <w:r w:rsidRPr="006840F8">
              <w:rPr>
                <w:rFonts w:ascii="Arial" w:hAnsi="Arial" w:cs="Arial"/>
                <w:b/>
                <w:bCs/>
                <w:sz w:val="24"/>
                <w:szCs w:val="24"/>
              </w:rPr>
              <w:t>Ver. Cleverton Nunes de Menezes</w:t>
            </w:r>
          </w:p>
        </w:tc>
        <w:tc>
          <w:tcPr>
            <w:tcW w:w="4461" w:type="dxa"/>
          </w:tcPr>
          <w:p w:rsidR="00BD4C3E" w:rsidRPr="006840F8" w:rsidRDefault="00BD4C3E" w:rsidP="00EF029A">
            <w:pPr>
              <w:keepNext/>
              <w:widowControl w:val="0"/>
              <w:autoSpaceDE w:val="0"/>
              <w:jc w:val="center"/>
              <w:rPr>
                <w:rFonts w:ascii="Arial" w:hAnsi="Arial" w:cs="Arial"/>
                <w:b/>
                <w:bCs/>
                <w:sz w:val="24"/>
                <w:szCs w:val="24"/>
              </w:rPr>
            </w:pPr>
            <w:r w:rsidRPr="006840F8">
              <w:rPr>
                <w:rFonts w:ascii="Arial" w:hAnsi="Arial" w:cs="Arial"/>
                <w:b/>
                <w:bCs/>
                <w:sz w:val="24"/>
                <w:szCs w:val="24"/>
              </w:rPr>
              <w:t>Ver. Laerte Lourenço</w:t>
            </w:r>
          </w:p>
        </w:tc>
      </w:tr>
      <w:tr w:rsidR="00BD4C3E" w:rsidRPr="006840F8" w:rsidTr="00EF029A">
        <w:tc>
          <w:tcPr>
            <w:tcW w:w="4460" w:type="dxa"/>
          </w:tcPr>
          <w:p w:rsidR="00BD4C3E" w:rsidRPr="006840F8" w:rsidRDefault="00BD4C3E" w:rsidP="00EF029A">
            <w:pPr>
              <w:keepNext/>
              <w:widowControl w:val="0"/>
              <w:autoSpaceDE w:val="0"/>
              <w:jc w:val="center"/>
              <w:rPr>
                <w:rFonts w:ascii="Arial" w:hAnsi="Arial" w:cs="Arial"/>
                <w:b/>
                <w:bCs/>
                <w:sz w:val="24"/>
                <w:szCs w:val="24"/>
              </w:rPr>
            </w:pPr>
            <w:r w:rsidRPr="006840F8">
              <w:rPr>
                <w:rFonts w:ascii="Arial" w:hAnsi="Arial" w:cs="Arial"/>
                <w:b/>
                <w:bCs/>
                <w:sz w:val="24"/>
                <w:szCs w:val="24"/>
              </w:rPr>
              <w:t>1º Secretário</w:t>
            </w:r>
          </w:p>
        </w:tc>
        <w:tc>
          <w:tcPr>
            <w:tcW w:w="4461" w:type="dxa"/>
          </w:tcPr>
          <w:p w:rsidR="00BD4C3E" w:rsidRPr="006840F8" w:rsidRDefault="00BD4C3E" w:rsidP="00EF029A">
            <w:pPr>
              <w:keepNext/>
              <w:widowControl w:val="0"/>
              <w:autoSpaceDE w:val="0"/>
              <w:jc w:val="center"/>
              <w:rPr>
                <w:rFonts w:ascii="Arial" w:hAnsi="Arial" w:cs="Arial"/>
                <w:b/>
                <w:bCs/>
                <w:sz w:val="24"/>
                <w:szCs w:val="24"/>
              </w:rPr>
            </w:pPr>
            <w:r w:rsidRPr="006840F8">
              <w:rPr>
                <w:rFonts w:ascii="Arial" w:hAnsi="Arial" w:cs="Arial"/>
                <w:b/>
                <w:bCs/>
                <w:sz w:val="24"/>
                <w:szCs w:val="24"/>
              </w:rPr>
              <w:t>2º Secretário</w:t>
            </w:r>
          </w:p>
        </w:tc>
      </w:tr>
    </w:tbl>
    <w:p w:rsidR="005D2B67" w:rsidRPr="005D2B67" w:rsidRDefault="005D2B67" w:rsidP="00BD4C3E">
      <w:pPr>
        <w:keepNext/>
        <w:widowControl w:val="0"/>
        <w:autoSpaceDE w:val="0"/>
        <w:jc w:val="center"/>
        <w:rPr>
          <w:rFonts w:ascii="Arial" w:eastAsia="DejaVu Sans" w:hAnsi="Arial" w:cs="Arial"/>
          <w:sz w:val="26"/>
          <w:szCs w:val="26"/>
          <w:lang/>
        </w:rPr>
      </w:pPr>
    </w:p>
    <w:sectPr w:rsidR="005D2B67" w:rsidRPr="005D2B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5200F5FF" w:usb2="0A24202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A140E2"/>
    <w:multiLevelType w:val="hybridMultilevel"/>
    <w:tmpl w:val="78E0BB8A"/>
    <w:lvl w:ilvl="0" w:tplc="BCD23714">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34D1689D"/>
    <w:multiLevelType w:val="hybridMultilevel"/>
    <w:tmpl w:val="71D090E8"/>
    <w:lvl w:ilvl="0" w:tplc="28DCD3AE">
      <w:start w:val="1"/>
      <w:numFmt w:val="upperRoman"/>
      <w:lvlText w:val="%1."/>
      <w:lvlJc w:val="left"/>
      <w:pPr>
        <w:ind w:left="1425" w:hanging="720"/>
      </w:pPr>
      <w:rPr>
        <w:rFonts w:hint="default"/>
      </w:rPr>
    </w:lvl>
    <w:lvl w:ilvl="1" w:tplc="04160019">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B67"/>
    <w:rsid w:val="005D2B67"/>
    <w:rsid w:val="00A15A38"/>
    <w:rsid w:val="00BB7707"/>
    <w:rsid w:val="00BD4C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FBDE"/>
  <w15:chartTrackingRefBased/>
  <w15:docId w15:val="{468A0606-5BBE-4727-B422-4EB2A53B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B67"/>
    <w:pPr>
      <w:spacing w:after="200" w:line="276" w:lineRule="auto"/>
    </w:pPr>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sid w:val="005D2B67"/>
    <w:rPr>
      <w:b/>
      <w:bCs/>
    </w:rPr>
  </w:style>
  <w:style w:type="table" w:styleId="Tabelacomgrade">
    <w:name w:val="Table Grid"/>
    <w:basedOn w:val="Tabelanormal"/>
    <w:uiPriority w:val="39"/>
    <w:rsid w:val="005D2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15A38"/>
    <w:pPr>
      <w:spacing w:after="0" w:line="240" w:lineRule="auto"/>
      <w:ind w:left="708"/>
    </w:pPr>
    <w:rPr>
      <w:rFonts w:ascii="Times New Roman" w:hAnsi="Times New Roman"/>
      <w:sz w:val="20"/>
      <w:szCs w:val="20"/>
    </w:rPr>
  </w:style>
  <w:style w:type="paragraph" w:customStyle="1" w:styleId="Recuodecorpodetexto31">
    <w:name w:val="Recuo de corpo de texto 31"/>
    <w:basedOn w:val="Normal"/>
    <w:rsid w:val="00BD4C3E"/>
    <w:pPr>
      <w:widowControl w:val="0"/>
      <w:spacing w:after="0" w:line="240" w:lineRule="auto"/>
      <w:ind w:left="1418"/>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997</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Roberto</dc:creator>
  <cp:keywords/>
  <dc:description/>
  <cp:lastModifiedBy>Carlos Roberto</cp:lastModifiedBy>
  <cp:revision>2</cp:revision>
  <dcterms:created xsi:type="dcterms:W3CDTF">2019-12-17T14:18:00Z</dcterms:created>
  <dcterms:modified xsi:type="dcterms:W3CDTF">2019-12-17T14:18:00Z</dcterms:modified>
</cp:coreProperties>
</file>