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67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</w:pPr>
      <w:r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Autógrafo</w:t>
      </w: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 xml:space="preserve"> nº</w:t>
      </w:r>
      <w:r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 xml:space="preserve"> 3479</w:t>
      </w:r>
    </w:p>
    <w:p w:rsidR="005D2B67" w:rsidRPr="00CE3862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</w:pPr>
    </w:p>
    <w:p w:rsidR="005D2B67" w:rsidRPr="00CE3862" w:rsidRDefault="005D2B67" w:rsidP="005D2B67">
      <w:pPr>
        <w:autoSpaceDE w:val="0"/>
        <w:spacing w:after="0"/>
        <w:ind w:left="3402"/>
        <w:jc w:val="both"/>
        <w:rPr>
          <w:rFonts w:ascii="Arial" w:eastAsia="DejaVu Sans" w:hAnsi="Arial" w:cs="Arial"/>
          <w:b/>
          <w:bCs/>
          <w:color w:val="000000"/>
          <w:sz w:val="26"/>
          <w:szCs w:val="26"/>
          <w:lang/>
        </w:rPr>
      </w:pPr>
    </w:p>
    <w:p w:rsidR="005D2B67" w:rsidRPr="00CE3862" w:rsidRDefault="005D2B67" w:rsidP="005D2B67">
      <w:pPr>
        <w:autoSpaceDE w:val="0"/>
        <w:spacing w:after="0"/>
        <w:ind w:left="3969"/>
        <w:jc w:val="both"/>
        <w:rPr>
          <w:rFonts w:ascii="Arial" w:eastAsia="DejaVu Sans" w:hAnsi="Arial" w:cs="Arial"/>
          <w:b/>
          <w:bCs/>
          <w:color w:val="000000"/>
          <w:sz w:val="24"/>
          <w:szCs w:val="24"/>
          <w:lang/>
        </w:rPr>
      </w:pPr>
      <w:r>
        <w:rPr>
          <w:rFonts w:ascii="Arial" w:eastAsia="DejaVu Sans" w:hAnsi="Arial" w:cs="Arial"/>
          <w:b/>
          <w:bCs/>
          <w:color w:val="000000"/>
          <w:sz w:val="24"/>
          <w:szCs w:val="24"/>
          <w:lang/>
        </w:rPr>
        <w:t xml:space="preserve">Dispõe sobre autorização de Cessão </w:t>
      </w:r>
      <w:r w:rsidRPr="00CE3862">
        <w:rPr>
          <w:rFonts w:ascii="Arial" w:eastAsia="DejaVu Sans" w:hAnsi="Arial" w:cs="Arial"/>
          <w:b/>
          <w:bCs/>
          <w:color w:val="000000"/>
          <w:sz w:val="24"/>
          <w:szCs w:val="24"/>
          <w:lang/>
        </w:rPr>
        <w:t xml:space="preserve">de direito real de uso gratuito de </w:t>
      </w:r>
      <w:r>
        <w:rPr>
          <w:rFonts w:ascii="Arial" w:eastAsia="DejaVu Sans" w:hAnsi="Arial" w:cs="Arial"/>
          <w:b/>
          <w:bCs/>
          <w:color w:val="000000"/>
          <w:sz w:val="24"/>
          <w:szCs w:val="24"/>
          <w:lang/>
        </w:rPr>
        <w:t>bem p</w:t>
      </w:r>
      <w:r w:rsidRPr="00CE3862">
        <w:rPr>
          <w:rFonts w:ascii="Arial" w:eastAsia="DejaVu Sans" w:hAnsi="Arial" w:cs="Arial"/>
          <w:b/>
          <w:bCs/>
          <w:color w:val="000000"/>
          <w:sz w:val="24"/>
          <w:szCs w:val="24"/>
          <w:lang/>
        </w:rPr>
        <w:t xml:space="preserve">úblico </w:t>
      </w:r>
      <w:r>
        <w:rPr>
          <w:rFonts w:ascii="Arial" w:eastAsia="DejaVu Sans" w:hAnsi="Arial" w:cs="Arial"/>
          <w:b/>
          <w:bCs/>
          <w:color w:val="000000"/>
          <w:sz w:val="24"/>
          <w:szCs w:val="24"/>
          <w:lang/>
        </w:rPr>
        <w:t>m</w:t>
      </w:r>
      <w:r w:rsidRPr="00CE3862">
        <w:rPr>
          <w:rFonts w:ascii="Arial" w:eastAsia="DejaVu Sans" w:hAnsi="Arial" w:cs="Arial"/>
          <w:b/>
          <w:bCs/>
          <w:color w:val="000000"/>
          <w:sz w:val="24"/>
          <w:szCs w:val="24"/>
          <w:lang/>
        </w:rPr>
        <w:t>unicipal, conforme especifica e dá outras providencias.</w:t>
      </w:r>
    </w:p>
    <w:p w:rsidR="005D2B67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b/>
          <w:bCs/>
          <w:color w:val="000000"/>
          <w:sz w:val="28"/>
          <w:szCs w:val="28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b/>
          <w:bCs/>
          <w:color w:val="000000"/>
          <w:sz w:val="28"/>
          <w:szCs w:val="28"/>
          <w:lang/>
        </w:rPr>
      </w:pPr>
    </w:p>
    <w:p w:rsidR="005D2B67" w:rsidRPr="00CE3862" w:rsidRDefault="005D2B67" w:rsidP="005D2B67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1"/>
        <w:jc w:val="both"/>
        <w:rPr>
          <w:rStyle w:val="Forte"/>
          <w:rFonts w:ascii="Arial" w:eastAsia="DejaVu Sans" w:hAnsi="Arial" w:cs="Arial"/>
          <w:b w:val="0"/>
          <w:sz w:val="26"/>
          <w:szCs w:val="26"/>
          <w:lang w:val="pt-PT"/>
        </w:rPr>
      </w:pPr>
      <w:r>
        <w:rPr>
          <w:rStyle w:val="Forte"/>
          <w:rFonts w:ascii="Arial" w:eastAsia="DejaVu Sans" w:hAnsi="Arial" w:cs="Arial"/>
          <w:b w:val="0"/>
          <w:sz w:val="26"/>
          <w:szCs w:val="26"/>
          <w:lang w:val="pt-PT"/>
        </w:rPr>
        <w:t xml:space="preserve">A </w:t>
      </w:r>
      <w:r w:rsidRPr="005D2B67">
        <w:rPr>
          <w:rStyle w:val="Forte"/>
          <w:rFonts w:ascii="Arial" w:eastAsia="DejaVu Sans" w:hAnsi="Arial" w:cs="Arial"/>
          <w:b w:val="0"/>
          <w:bCs w:val="0"/>
          <w:sz w:val="26"/>
          <w:szCs w:val="26"/>
          <w:lang w:val="pt-PT"/>
        </w:rPr>
        <w:t>Câmara Municipal de Cordeirópolis</w:t>
      </w:r>
      <w:r w:rsidRPr="00CE3862">
        <w:rPr>
          <w:rStyle w:val="Forte"/>
          <w:rFonts w:ascii="Arial" w:eastAsia="DejaVu Sans" w:hAnsi="Arial" w:cs="Arial"/>
          <w:b w:val="0"/>
          <w:sz w:val="26"/>
          <w:szCs w:val="26"/>
          <w:lang w:val="pt-PT"/>
        </w:rPr>
        <w:t xml:space="preserve"> </w:t>
      </w:r>
      <w:r>
        <w:rPr>
          <w:rStyle w:val="Forte"/>
          <w:rFonts w:ascii="Arial" w:eastAsia="DejaVu Sans" w:hAnsi="Arial" w:cs="Arial"/>
          <w:b w:val="0"/>
          <w:sz w:val="26"/>
          <w:szCs w:val="26"/>
          <w:lang w:val="pt-PT"/>
        </w:rPr>
        <w:t>decreta:</w:t>
      </w:r>
    </w:p>
    <w:p w:rsidR="005D2B67" w:rsidRPr="00CE3862" w:rsidRDefault="005D2B67" w:rsidP="005D2B67">
      <w:pPr>
        <w:keepNext/>
        <w:autoSpaceDE w:val="0"/>
        <w:spacing w:after="0"/>
        <w:jc w:val="both"/>
        <w:rPr>
          <w:rFonts w:ascii="Arial" w:eastAsia="DejaVu Sans" w:hAnsi="Arial" w:cs="Arial"/>
          <w:color w:val="000000"/>
          <w:sz w:val="28"/>
          <w:szCs w:val="28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Art. 1º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– Fica o </w:t>
      </w: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lang/>
        </w:rPr>
        <w:t>Poder Executivo Municipal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autorizado a 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>cessão de direito real de uso gratuito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ao </w:t>
      </w:r>
      <w:r w:rsidRPr="00CE3862">
        <w:rPr>
          <w:rFonts w:ascii="Arial" w:eastAsia="DejaVu Sans" w:hAnsi="Arial" w:cs="Arial"/>
          <w:b/>
          <w:caps/>
          <w:color w:val="000000"/>
          <w:sz w:val="26"/>
          <w:szCs w:val="26"/>
          <w:lang/>
        </w:rPr>
        <w:t>“GREMIO ESPORTIVO BELA VISTA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>”, Associação Desportiva com personalidade jurídica sem fins lucrativos, cadastrada no CNPJ/MF sob nº. 04.870.704/0001-76, do campo de futebol e dos vestiários do Centro Esportivo Prefeito Elias Abrahão Saad, localizado na Rua João Leme esquina com Rua Urde Abrahão Campos Toledo, no Jardim Progresso – Cordeirópolis – Estado de São Paulo.</w:t>
      </w: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</w:t>
      </w: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ab/>
      </w: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Parágrafo Único</w:t>
      </w: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lang/>
        </w:rPr>
        <w:t xml:space="preserve"> 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– Fica dispensada a licitação, nos termos do Parágrafo Único do artigo 119, da Lei Orgânica do Município de Cordeirópolis, por tratar-se de interesse relevante para a coletividade. </w:t>
      </w:r>
    </w:p>
    <w:p w:rsidR="005D2B67" w:rsidRPr="00CE3862" w:rsidRDefault="005D2B67" w:rsidP="005D2B67">
      <w:pPr>
        <w:spacing w:after="0"/>
        <w:rPr>
          <w:rFonts w:ascii="Arial" w:eastAsia="DejaVu Sans" w:hAnsi="Arial" w:cs="Arial"/>
          <w:color w:val="000000"/>
          <w:sz w:val="26"/>
          <w:szCs w:val="26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Art. 2º</w:t>
      </w: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lang/>
        </w:rPr>
        <w:t xml:space="preserve"> –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A finalidade da 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>cessão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de 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>direito real de uso gratuito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do campo de futebol e vestiários de que trata o </w:t>
      </w:r>
      <w:r w:rsidRPr="00CE3862">
        <w:rPr>
          <w:rFonts w:ascii="Arial" w:eastAsia="DejaVu Sans" w:hAnsi="Arial" w:cs="Arial"/>
          <w:b/>
          <w:bCs/>
          <w:i/>
          <w:iCs/>
          <w:color w:val="000000"/>
          <w:sz w:val="26"/>
          <w:szCs w:val="26"/>
          <w:lang/>
        </w:rPr>
        <w:t>“caput”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do artigo 1º, destina-se exclusivamente a promoção e a difusão da pratica de esportes em geral, especificamente o futebol de campo.</w:t>
      </w: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ab/>
      </w: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Parágrafo Único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- O </w:t>
      </w:r>
      <w:r w:rsidRPr="00265939">
        <w:rPr>
          <w:rFonts w:ascii="Arial" w:eastAsia="DejaVu Sans" w:hAnsi="Arial" w:cs="Arial"/>
          <w:b/>
          <w:color w:val="000000"/>
          <w:sz w:val="26"/>
          <w:szCs w:val="26"/>
          <w:lang/>
        </w:rPr>
        <w:t>Cessionário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também em conjunto com a </w:t>
      </w:r>
      <w:r w:rsidRPr="00265939">
        <w:rPr>
          <w:rFonts w:ascii="Arial" w:eastAsia="DejaVu Sans" w:hAnsi="Arial" w:cs="Arial"/>
          <w:b/>
          <w:color w:val="000000"/>
          <w:sz w:val="26"/>
          <w:szCs w:val="26"/>
          <w:lang/>
        </w:rPr>
        <w:t>Secretaria Municipal de Esporte e Lazer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 xml:space="preserve"> desenvolverá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a realização de eventos esportivos e de lazer para crianças; jovens; e, adultos.</w:t>
      </w: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sz w:val="26"/>
          <w:szCs w:val="26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Art. 3º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– A 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>Cessão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de 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 xml:space="preserve">direito real de 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>uso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 xml:space="preserve"> gratuito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poderá ser suspensa nos casos de desvios de finalidade da c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>essão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de uso ou de interrupção das atividades definidas no artigo 2º desta Lei.</w:t>
      </w:r>
    </w:p>
    <w:p w:rsidR="005D2B67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Art. 4º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- A 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>cessão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será feita a título gratuito e terá a duração de 60 (sessenta) meses, contados a partir da vigência desta Lei, podendo ser renovada por períodos iguais e sucessivos, desde que haja justificado interesse público e recíproco.</w:t>
      </w: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lastRenderedPageBreak/>
        <w:t>Art. 5º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– Todas as benfeito</w:t>
      </w:r>
      <w:r>
        <w:rPr>
          <w:rFonts w:ascii="Arial" w:eastAsia="DejaVu Sans" w:hAnsi="Arial" w:cs="Arial"/>
          <w:color w:val="000000"/>
          <w:sz w:val="26"/>
          <w:szCs w:val="26"/>
          <w:lang/>
        </w:rPr>
        <w:t>rias introduzidas no imóvel pelo Cessionário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>, e bem assim por terceiros, por força de contratos que vierem a ser celebrados para utilização do campo de futebol e vestiários, incorporar-se-ão ao imóvel sem direito a qualquer indenização por parte do município.</w:t>
      </w:r>
    </w:p>
    <w:p w:rsidR="005D2B67" w:rsidRPr="00CE3862" w:rsidRDefault="005D2B67" w:rsidP="005D2B67">
      <w:pPr>
        <w:keepNext/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Art. 6º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– As </w:t>
      </w:r>
      <w:proofErr w:type="gramStart"/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>despesas decorrente</w:t>
      </w:r>
      <w:proofErr w:type="gramEnd"/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da execução da presente Lei Complementar correrão por conta de dotações próprias, consignadas no orçamento vigente, suplementadas se necessárias.</w:t>
      </w: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Art. 7º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– Esta Lei Complementar poderá ser regulamentada por Decreto no que couber.</w:t>
      </w:r>
    </w:p>
    <w:p w:rsidR="005D2B67" w:rsidRPr="00CE3862" w:rsidRDefault="005D2B67" w:rsidP="005D2B67">
      <w:pPr>
        <w:keepNext/>
        <w:autoSpaceDE w:val="0"/>
        <w:spacing w:after="0"/>
        <w:ind w:firstLine="2127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color w:val="000000"/>
          <w:sz w:val="26"/>
          <w:szCs w:val="26"/>
          <w:lang/>
        </w:rPr>
      </w:pP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Art. 8º</w:t>
      </w:r>
      <w:r w:rsidRPr="00CE3862">
        <w:rPr>
          <w:rFonts w:ascii="Arial" w:eastAsia="DejaVu Sans" w:hAnsi="Arial" w:cs="Arial"/>
          <w:color w:val="000000"/>
          <w:sz w:val="26"/>
          <w:szCs w:val="26"/>
          <w:lang/>
        </w:rPr>
        <w:t xml:space="preserve"> – Esta Lei Complementar entra em vigor na data de sua publicação, revogadas as disposições em contrário.</w:t>
      </w: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b/>
          <w:bCs/>
          <w:color w:val="000000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  <w:r w:rsidRPr="005D2B67">
        <w:rPr>
          <w:rFonts w:ascii="Arial" w:eastAsia="DejaVu Sans" w:hAnsi="Arial" w:cs="Arial"/>
          <w:sz w:val="26"/>
          <w:szCs w:val="26"/>
          <w:lang/>
        </w:rPr>
        <w:t>Câmara Municipal de Cordeirópolis, 17 de dezembro de 2019</w:t>
      </w: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840F8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840F8">
        <w:rPr>
          <w:rFonts w:ascii="Arial" w:hAnsi="Arial" w:cs="Arial"/>
          <w:b/>
          <w:bCs/>
          <w:sz w:val="24"/>
          <w:szCs w:val="24"/>
        </w:rPr>
        <w:t>Presidente</w:t>
      </w: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5D2B67" w:rsidRPr="006840F8" w:rsidTr="00EF029A">
        <w:tc>
          <w:tcPr>
            <w:tcW w:w="4460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5D2B67" w:rsidRPr="006840F8" w:rsidTr="00EF029A">
        <w:tc>
          <w:tcPr>
            <w:tcW w:w="4460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5D2B67" w:rsidRP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  <w:bookmarkStart w:id="0" w:name="_GoBack"/>
      <w:bookmarkEnd w:id="0"/>
    </w:p>
    <w:sectPr w:rsidR="005D2B67" w:rsidRPr="005D2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7"/>
    <w:rsid w:val="005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FBDE"/>
  <w15:chartTrackingRefBased/>
  <w15:docId w15:val="{468A0606-5BBE-4727-B422-4EB2A53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6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D2B67"/>
    <w:rPr>
      <w:b/>
      <w:bCs/>
    </w:rPr>
  </w:style>
  <w:style w:type="table" w:styleId="Tabelacomgrade">
    <w:name w:val="Table Grid"/>
    <w:basedOn w:val="Tabelanormal"/>
    <w:uiPriority w:val="39"/>
    <w:rsid w:val="005D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Carlos Roberto</cp:lastModifiedBy>
  <cp:revision>1</cp:revision>
  <dcterms:created xsi:type="dcterms:W3CDTF">2019-12-17T13:57:00Z</dcterms:created>
  <dcterms:modified xsi:type="dcterms:W3CDTF">2019-12-17T14:01:00Z</dcterms:modified>
</cp:coreProperties>
</file>