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6C" w:rsidRPr="00A712CE" w:rsidRDefault="00A712CE" w:rsidP="00A712CE">
      <w:pPr>
        <w:spacing w:after="0" w:line="240" w:lineRule="auto"/>
        <w:contextualSpacing/>
        <w:jc w:val="center"/>
        <w:rPr>
          <w:rFonts w:asciiTheme="majorHAnsi" w:hAnsiTheme="majorHAnsi" w:cstheme="minorHAnsi"/>
          <w:b/>
          <w:bCs/>
          <w:sz w:val="25"/>
          <w:szCs w:val="25"/>
          <w:u w:val="single"/>
        </w:rPr>
      </w:pPr>
      <w:bookmarkStart w:id="0" w:name="artigo_43"/>
      <w:r w:rsidRPr="00A712CE">
        <w:rPr>
          <w:rFonts w:asciiTheme="majorHAnsi" w:hAnsiTheme="majorHAnsi" w:cstheme="minorHAnsi"/>
          <w:b/>
          <w:bCs/>
          <w:sz w:val="25"/>
          <w:szCs w:val="25"/>
          <w:u w:val="single"/>
        </w:rPr>
        <w:t>Autógrafo nº 3476</w:t>
      </w:r>
    </w:p>
    <w:p w:rsidR="00A712CE" w:rsidRPr="00A712CE" w:rsidRDefault="00A712CE" w:rsidP="00A712CE">
      <w:pPr>
        <w:spacing w:after="0" w:line="240" w:lineRule="auto"/>
        <w:contextualSpacing/>
        <w:jc w:val="center"/>
        <w:rPr>
          <w:rFonts w:asciiTheme="majorHAnsi" w:hAnsiTheme="majorHAnsi" w:cstheme="minorHAnsi"/>
          <w:b/>
          <w:bCs/>
          <w:sz w:val="25"/>
          <w:szCs w:val="25"/>
          <w:u w:val="single"/>
        </w:rPr>
      </w:pPr>
    </w:p>
    <w:p w:rsidR="00A712CE" w:rsidRPr="00A712CE" w:rsidRDefault="00A712CE" w:rsidP="00A712CE">
      <w:pPr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5"/>
          <w:szCs w:val="25"/>
        </w:rPr>
      </w:pPr>
      <w:r w:rsidRPr="00A712CE">
        <w:rPr>
          <w:rFonts w:asciiTheme="majorHAnsi" w:hAnsiTheme="majorHAnsi" w:cstheme="minorHAnsi"/>
          <w:b/>
          <w:sz w:val="25"/>
          <w:szCs w:val="25"/>
        </w:rPr>
        <w:t>(Projeto de Lei Complementar do vereador José Antonio Rodrigues)</w:t>
      </w:r>
    </w:p>
    <w:p w:rsidR="00A712CE" w:rsidRPr="00A712CE" w:rsidRDefault="00A712CE" w:rsidP="00A712CE">
      <w:pPr>
        <w:spacing w:after="0" w:line="240" w:lineRule="auto"/>
        <w:ind w:left="708"/>
        <w:contextualSpacing/>
        <w:jc w:val="center"/>
        <w:rPr>
          <w:rFonts w:asciiTheme="majorHAnsi" w:hAnsiTheme="majorHAnsi" w:cstheme="minorHAnsi"/>
          <w:sz w:val="25"/>
          <w:szCs w:val="25"/>
        </w:rPr>
      </w:pPr>
    </w:p>
    <w:p w:rsidR="00793C6C" w:rsidRPr="00A712CE" w:rsidRDefault="00793C6C" w:rsidP="00A712CE">
      <w:pPr>
        <w:spacing w:after="0" w:line="240" w:lineRule="auto"/>
        <w:ind w:left="3402"/>
        <w:contextualSpacing/>
        <w:jc w:val="both"/>
        <w:rPr>
          <w:rFonts w:asciiTheme="majorHAnsi" w:hAnsiTheme="majorHAnsi" w:cstheme="minorHAnsi"/>
          <w:b/>
          <w:bCs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>Acrescenta dispositivos na Lei nº 920, de 20 de Dezembro de 1973</w:t>
      </w:r>
      <w:r w:rsidR="00A712CE">
        <w:rPr>
          <w:rFonts w:asciiTheme="majorHAnsi" w:hAnsiTheme="majorHAnsi" w:cstheme="minorHAnsi"/>
          <w:b/>
          <w:bCs/>
          <w:sz w:val="25"/>
          <w:szCs w:val="25"/>
        </w:rPr>
        <w:t xml:space="preserve"> (Institui o Código Tributário d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>o</w:t>
      </w:r>
      <w:r w:rsidR="008C449F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 Município </w:t>
      </w:r>
      <w:r w:rsidR="00A712CE">
        <w:rPr>
          <w:rFonts w:asciiTheme="majorHAnsi" w:hAnsiTheme="majorHAnsi" w:cstheme="minorHAnsi"/>
          <w:b/>
          <w:bCs/>
          <w:sz w:val="25"/>
          <w:szCs w:val="25"/>
        </w:rPr>
        <w:t>d</w:t>
      </w:r>
      <w:r w:rsidR="008C449F" w:rsidRPr="00A712CE">
        <w:rPr>
          <w:rFonts w:asciiTheme="majorHAnsi" w:hAnsiTheme="majorHAnsi" w:cstheme="minorHAnsi"/>
          <w:b/>
          <w:bCs/>
          <w:sz w:val="25"/>
          <w:szCs w:val="25"/>
        </w:rPr>
        <w:t>e Cordeirópolis - S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P) para disciplinar a isenção do Imposto </w:t>
      </w:r>
      <w:r w:rsidR="000960A6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Predial e 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Territorial Urbano – IPTU </w:t>
      </w:r>
      <w:r w:rsidR="00A712CE">
        <w:rPr>
          <w:rFonts w:asciiTheme="majorHAnsi" w:hAnsiTheme="majorHAnsi" w:cstheme="minorHAnsi"/>
          <w:b/>
          <w:bCs/>
          <w:sz w:val="25"/>
          <w:szCs w:val="25"/>
        </w:rPr>
        <w:t>concedida às e</w:t>
      </w:r>
      <w:r w:rsidR="00A4311B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ntidades </w:t>
      </w:r>
      <w:r w:rsidR="00A712CE">
        <w:rPr>
          <w:rFonts w:asciiTheme="majorHAnsi" w:hAnsiTheme="majorHAnsi" w:cstheme="minorHAnsi"/>
          <w:b/>
          <w:bCs/>
          <w:sz w:val="25"/>
          <w:szCs w:val="25"/>
        </w:rPr>
        <w:t>r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>eligiosas de qualquer culto.</w:t>
      </w:r>
    </w:p>
    <w:p w:rsidR="00793C6C" w:rsidRPr="00A712CE" w:rsidRDefault="00793C6C" w:rsidP="00A712CE">
      <w:pPr>
        <w:spacing w:after="0" w:line="240" w:lineRule="auto"/>
        <w:ind w:left="711"/>
        <w:contextualSpacing/>
        <w:jc w:val="both"/>
        <w:rPr>
          <w:rFonts w:asciiTheme="majorHAnsi" w:hAnsiTheme="majorHAnsi" w:cstheme="minorHAnsi"/>
          <w:b/>
          <w:bCs/>
          <w:sz w:val="25"/>
          <w:szCs w:val="25"/>
        </w:rPr>
      </w:pPr>
    </w:p>
    <w:p w:rsidR="00793C6C" w:rsidRPr="00A712CE" w:rsidRDefault="00793C6C" w:rsidP="00A712CE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>Art. 1º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- 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>Fica acrescido ao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artigo 160 da Lei nº 920, de 20 de Dezembro de 1973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>, as seguintes disposições:</w:t>
      </w:r>
    </w:p>
    <w:p w:rsidR="00A712CE" w:rsidRPr="00A712CE" w:rsidRDefault="00A712CE" w:rsidP="00A712CE">
      <w:pPr>
        <w:spacing w:after="0" w:line="240" w:lineRule="auto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026DCE" w:rsidRPr="00A712CE" w:rsidRDefault="003324DD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“§ </w:t>
      </w:r>
      <w:r w:rsidR="00745113" w:rsidRPr="00A712CE">
        <w:rPr>
          <w:rFonts w:asciiTheme="majorHAnsi" w:hAnsiTheme="majorHAnsi" w:cstheme="minorHAnsi"/>
          <w:b/>
          <w:bCs/>
          <w:sz w:val="25"/>
          <w:szCs w:val="25"/>
        </w:rPr>
        <w:t>1</w:t>
      </w:r>
      <w:r w:rsidR="00BC7E00" w:rsidRPr="00A712C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>.</w:t>
      </w:r>
      <w:r w:rsidR="00BC7E00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 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Para fazer jus à isenção de que </w:t>
      </w:r>
      <w:r w:rsidR="00745113" w:rsidRPr="00A712CE">
        <w:rPr>
          <w:rFonts w:asciiTheme="majorHAnsi" w:hAnsiTheme="majorHAnsi" w:cstheme="minorHAnsi"/>
          <w:bCs/>
          <w:sz w:val="25"/>
          <w:szCs w:val="25"/>
        </w:rPr>
        <w:t>o inciso “b”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 deste artigo</w:t>
      </w:r>
      <w:r w:rsidR="00CD407E" w:rsidRPr="00A712CE">
        <w:rPr>
          <w:rFonts w:asciiTheme="majorHAnsi" w:hAnsiTheme="majorHAnsi" w:cstheme="minorHAnsi"/>
          <w:bCs/>
          <w:sz w:val="25"/>
          <w:szCs w:val="25"/>
        </w:rPr>
        <w:t xml:space="preserve"> deverá</w:t>
      </w:r>
      <w:r w:rsidR="00745113" w:rsidRPr="00A712CE">
        <w:rPr>
          <w:rFonts w:asciiTheme="majorHAnsi" w:hAnsiTheme="majorHAnsi" w:cstheme="minorHAnsi"/>
          <w:bCs/>
          <w:sz w:val="25"/>
          <w:szCs w:val="25"/>
        </w:rPr>
        <w:t xml:space="preserve"> ser apresentado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 pela</w:t>
      </w:r>
      <w:r w:rsidR="00745113" w:rsidRPr="00A712CE">
        <w:rPr>
          <w:rFonts w:asciiTheme="majorHAnsi" w:hAnsiTheme="majorHAnsi" w:cstheme="minorHAnsi"/>
          <w:bCs/>
          <w:sz w:val="25"/>
          <w:szCs w:val="25"/>
        </w:rPr>
        <w:t xml:space="preserve"> </w:t>
      </w:r>
      <w:r w:rsidR="006A644F" w:rsidRPr="00A712CE">
        <w:rPr>
          <w:rFonts w:asciiTheme="majorHAnsi" w:hAnsiTheme="majorHAnsi" w:cstheme="minorHAnsi"/>
          <w:bCs/>
          <w:sz w:val="25"/>
          <w:szCs w:val="25"/>
        </w:rPr>
        <w:t>beneficiária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 os seguintes </w:t>
      </w:r>
      <w:r w:rsidR="00745113" w:rsidRPr="00A712CE">
        <w:rPr>
          <w:rFonts w:asciiTheme="majorHAnsi" w:hAnsiTheme="majorHAnsi" w:cstheme="minorHAnsi"/>
          <w:bCs/>
          <w:sz w:val="25"/>
          <w:szCs w:val="25"/>
        </w:rPr>
        <w:t>documentos</w:t>
      </w:r>
      <w:bookmarkStart w:id="1" w:name="_GoBack"/>
      <w:bookmarkEnd w:id="1"/>
      <w:r w:rsidR="00BC7E00" w:rsidRPr="00A712CE">
        <w:rPr>
          <w:rFonts w:asciiTheme="majorHAnsi" w:hAnsiTheme="majorHAnsi" w:cstheme="minorHAnsi"/>
          <w:bCs/>
          <w:sz w:val="25"/>
          <w:szCs w:val="25"/>
        </w:rPr>
        <w:t>:</w:t>
      </w:r>
    </w:p>
    <w:p w:rsidR="00026DCE" w:rsidRPr="00A712CE" w:rsidRDefault="00026D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BC7E00" w:rsidRPr="00A712CE">
        <w:rPr>
          <w:rFonts w:asciiTheme="majorHAnsi" w:hAnsiTheme="majorHAnsi" w:cstheme="minorHAnsi"/>
          <w:b/>
          <w:bCs/>
          <w:sz w:val="25"/>
          <w:szCs w:val="25"/>
        </w:rPr>
        <w:t>I -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 cópia do estatuto social e dos documentos de identificação do seu representante legal;</w:t>
      </w: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BC7E00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II </w:t>
      </w:r>
      <w:r w:rsidR="007A7E67" w:rsidRPr="00A712CE">
        <w:rPr>
          <w:rFonts w:asciiTheme="majorHAnsi" w:hAnsiTheme="majorHAnsi" w:cstheme="minorHAnsi"/>
          <w:b/>
          <w:bCs/>
          <w:sz w:val="25"/>
          <w:szCs w:val="25"/>
        </w:rPr>
        <w:t>–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 xml:space="preserve"> 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 xml:space="preserve">declaração do representante legal contendo a 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>programação dos cu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 xml:space="preserve">ltos, a ser renovada </w:t>
      </w:r>
      <w:r w:rsidR="00EC52CA" w:rsidRPr="00A712CE">
        <w:rPr>
          <w:rFonts w:asciiTheme="majorHAnsi" w:hAnsiTheme="majorHAnsi" w:cstheme="minorHAnsi"/>
          <w:bCs/>
          <w:sz w:val="25"/>
          <w:szCs w:val="25"/>
        </w:rPr>
        <w:t>anualmente</w:t>
      </w:r>
      <w:r w:rsidR="00BC7E00" w:rsidRPr="00A712CE">
        <w:rPr>
          <w:rFonts w:asciiTheme="majorHAnsi" w:hAnsiTheme="majorHAnsi" w:cstheme="minorHAnsi"/>
          <w:bCs/>
          <w:sz w:val="25"/>
          <w:szCs w:val="25"/>
        </w:rPr>
        <w:t>;</w:t>
      </w: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7A7E67" w:rsidRPr="00A712CE">
        <w:rPr>
          <w:rFonts w:asciiTheme="majorHAnsi" w:hAnsiTheme="majorHAnsi" w:cstheme="minorHAnsi"/>
          <w:b/>
          <w:bCs/>
          <w:sz w:val="25"/>
          <w:szCs w:val="25"/>
        </w:rPr>
        <w:t>III -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 xml:space="preserve"> cópia do contrato de locação ou instrumento de cessão, comodato ou equivalente, no qual contenha cláusula transferindo a responsabilidade pelo pagamento do IPTU à beneficiária, quando o </w:t>
      </w:r>
      <w:r w:rsidR="006A644F" w:rsidRPr="00A712CE">
        <w:rPr>
          <w:rFonts w:asciiTheme="majorHAnsi" w:hAnsiTheme="majorHAnsi" w:cstheme="minorHAnsi"/>
          <w:bCs/>
          <w:sz w:val="25"/>
          <w:szCs w:val="25"/>
        </w:rPr>
        <w:t>imóvel não pertencer à entidade.</w:t>
      </w:r>
    </w:p>
    <w:p w:rsidR="00BC7E00" w:rsidRPr="00A712CE" w:rsidRDefault="00BC7E00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br/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§ </w:t>
      </w:r>
      <w:r w:rsidR="007A7E67" w:rsidRPr="00A712CE">
        <w:rPr>
          <w:rFonts w:asciiTheme="majorHAnsi" w:hAnsiTheme="majorHAnsi" w:cstheme="minorHAnsi"/>
          <w:b/>
          <w:bCs/>
          <w:sz w:val="25"/>
          <w:szCs w:val="25"/>
        </w:rPr>
        <w:t>2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>º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>.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Especificamente para os casos nos quais a requerente da isenção não detenha condições de apresentar os elementos referidos no § 2º deste artigo, o Poder Executivo poderá</w:t>
      </w:r>
      <w:r w:rsidR="00CD407E" w:rsidRPr="00A712CE">
        <w:rPr>
          <w:rFonts w:asciiTheme="majorHAnsi" w:hAnsiTheme="majorHAnsi" w:cstheme="minorHAnsi"/>
          <w:bCs/>
          <w:sz w:val="25"/>
          <w:szCs w:val="25"/>
        </w:rPr>
        <w:t xml:space="preserve"> </w:t>
      </w:r>
      <w:r w:rsidRPr="00A712CE">
        <w:rPr>
          <w:rFonts w:asciiTheme="majorHAnsi" w:hAnsiTheme="majorHAnsi" w:cstheme="minorHAnsi"/>
          <w:bCs/>
          <w:sz w:val="25"/>
          <w:szCs w:val="25"/>
        </w:rPr>
        <w:t>estabelecer outros requisitos para a concessão do benefício.</w:t>
      </w: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>§</w:t>
      </w:r>
      <w:r w:rsidR="003324DD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 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>3º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>.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A isenção será suspensa imediatamente</w:t>
      </w:r>
      <w:r w:rsidR="00EC52CA" w:rsidRPr="00A712CE">
        <w:rPr>
          <w:rFonts w:asciiTheme="majorHAnsi" w:hAnsiTheme="majorHAnsi" w:cstheme="minorHAnsi"/>
          <w:bCs/>
          <w:sz w:val="25"/>
          <w:szCs w:val="25"/>
        </w:rPr>
        <w:t>, até que seja regularizada a situação,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quando constatada uma das seguintes ocorrências:</w:t>
      </w:r>
    </w:p>
    <w:p w:rsidR="00BF24A5" w:rsidRPr="00A712CE" w:rsidRDefault="00BF24A5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F830E4" w:rsidRPr="00A712CE">
        <w:rPr>
          <w:rFonts w:asciiTheme="majorHAnsi" w:hAnsiTheme="majorHAnsi" w:cstheme="minorHAnsi"/>
          <w:b/>
          <w:bCs/>
          <w:sz w:val="25"/>
          <w:szCs w:val="25"/>
        </w:rPr>
        <w:t>I -</w:t>
      </w:r>
      <w:r w:rsidR="00F830E4" w:rsidRPr="00A712CE">
        <w:rPr>
          <w:rFonts w:asciiTheme="majorHAnsi" w:hAnsiTheme="majorHAnsi" w:cstheme="minorHAnsi"/>
          <w:bCs/>
          <w:sz w:val="25"/>
          <w:szCs w:val="25"/>
        </w:rPr>
        <w:t xml:space="preserve"> seja dado</w:t>
      </w:r>
      <w:r w:rsidR="00CD407E" w:rsidRPr="00A712CE">
        <w:rPr>
          <w:rFonts w:asciiTheme="majorHAnsi" w:hAnsiTheme="majorHAnsi" w:cstheme="minorHAnsi"/>
          <w:bCs/>
          <w:sz w:val="25"/>
          <w:szCs w:val="25"/>
        </w:rPr>
        <w:t xml:space="preserve"> ao imóvel</w:t>
      </w:r>
      <w:r w:rsidR="00F830E4" w:rsidRPr="00A712CE">
        <w:rPr>
          <w:rFonts w:asciiTheme="majorHAnsi" w:hAnsiTheme="majorHAnsi" w:cstheme="minorHAnsi"/>
          <w:bCs/>
          <w:sz w:val="25"/>
          <w:szCs w:val="25"/>
        </w:rPr>
        <w:t xml:space="preserve"> uso diverso às finalidades </w:t>
      </w:r>
      <w:r w:rsidR="00753DAE" w:rsidRPr="00A712CE">
        <w:rPr>
          <w:rFonts w:asciiTheme="majorHAnsi" w:hAnsiTheme="majorHAnsi" w:cstheme="minorHAnsi"/>
          <w:bCs/>
          <w:sz w:val="25"/>
          <w:szCs w:val="25"/>
        </w:rPr>
        <w:t>essenciais da entidade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>;</w:t>
      </w: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7A7E67" w:rsidRPr="00A712CE">
        <w:rPr>
          <w:rFonts w:asciiTheme="majorHAnsi" w:hAnsiTheme="majorHAnsi" w:cstheme="minorHAnsi"/>
          <w:b/>
          <w:bCs/>
          <w:sz w:val="25"/>
          <w:szCs w:val="25"/>
        </w:rPr>
        <w:t>II -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 xml:space="preserve"> seja descumprida qualquer das obrigações acessórias previstas na legislação vigente;</w:t>
      </w:r>
    </w:p>
    <w:p w:rsidR="007A7E67" w:rsidRPr="00A712CE" w:rsidRDefault="007A7E67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A7E67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7A7E67" w:rsidRPr="00A712CE">
        <w:rPr>
          <w:rFonts w:asciiTheme="majorHAnsi" w:hAnsiTheme="majorHAnsi" w:cstheme="minorHAnsi"/>
          <w:b/>
          <w:bCs/>
          <w:sz w:val="25"/>
          <w:szCs w:val="25"/>
        </w:rPr>
        <w:t>III -</w:t>
      </w:r>
      <w:r w:rsidR="007A7E67" w:rsidRPr="00A712CE">
        <w:rPr>
          <w:rFonts w:asciiTheme="majorHAnsi" w:hAnsiTheme="majorHAnsi" w:cstheme="minorHAnsi"/>
          <w:bCs/>
          <w:sz w:val="25"/>
          <w:szCs w:val="25"/>
        </w:rPr>
        <w:t xml:space="preserve"> seja apurado que o pedido para reconhecimento da isenção foi instruído com documentos inidôneos ou foram prestadas informações falsas</w:t>
      </w:r>
      <w:r w:rsidR="00753DAE" w:rsidRPr="00A712CE">
        <w:rPr>
          <w:rFonts w:asciiTheme="majorHAnsi" w:hAnsiTheme="majorHAnsi" w:cstheme="minorHAnsi"/>
          <w:bCs/>
          <w:sz w:val="25"/>
          <w:szCs w:val="25"/>
        </w:rPr>
        <w:t>;</w:t>
      </w:r>
    </w:p>
    <w:p w:rsidR="00026DCE" w:rsidRPr="00A712CE" w:rsidRDefault="00026D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7970DF" w:rsidRPr="00A712CE" w:rsidRDefault="00A712CE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Cs/>
          <w:sz w:val="25"/>
          <w:szCs w:val="25"/>
        </w:rPr>
        <w:tab/>
      </w:r>
      <w:r w:rsidR="00026DCE" w:rsidRPr="00A712CE">
        <w:rPr>
          <w:rFonts w:asciiTheme="majorHAnsi" w:hAnsiTheme="majorHAnsi" w:cstheme="minorHAnsi"/>
          <w:b/>
          <w:bCs/>
          <w:sz w:val="25"/>
          <w:szCs w:val="25"/>
        </w:rPr>
        <w:t>IV –</w:t>
      </w:r>
      <w:r w:rsidR="00026DCE" w:rsidRPr="00A712CE">
        <w:rPr>
          <w:rFonts w:asciiTheme="majorHAnsi" w:hAnsiTheme="majorHAnsi" w:cstheme="minorHAnsi"/>
          <w:bCs/>
          <w:sz w:val="25"/>
          <w:szCs w:val="25"/>
        </w:rPr>
        <w:t xml:space="preserve"> não for apresentado o documento previsto no inciso II do §1º deste artigo.</w:t>
      </w:r>
    </w:p>
    <w:p w:rsidR="007970DF" w:rsidRPr="00A712CE" w:rsidRDefault="007970DF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</w:p>
    <w:p w:rsidR="00026DCE" w:rsidRPr="00A712CE" w:rsidRDefault="007970DF" w:rsidP="00A712CE">
      <w:pPr>
        <w:spacing w:after="0" w:line="240" w:lineRule="auto"/>
        <w:ind w:left="1134"/>
        <w:contextualSpacing/>
        <w:jc w:val="both"/>
        <w:rPr>
          <w:rFonts w:asciiTheme="majorHAnsi" w:hAnsiTheme="majorHAnsi" w:cstheme="minorHAnsi"/>
          <w:bCs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>§ 4º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>.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A entidade beneficiária deverá informar a Prefeitura Municipal em caso de não ser mais a proprietária do imóvel ou quando cessar o contrato de locação ou instrumento de cessão, comodato ou equivalente, quando então o benefício também será cessado.</w:t>
      </w:r>
      <w:r w:rsidR="00CC13E2" w:rsidRPr="00A712CE">
        <w:rPr>
          <w:rFonts w:asciiTheme="majorHAnsi" w:hAnsiTheme="majorHAnsi" w:cstheme="minorHAnsi"/>
          <w:bCs/>
          <w:sz w:val="25"/>
          <w:szCs w:val="25"/>
        </w:rPr>
        <w:t>”</w:t>
      </w:r>
    </w:p>
    <w:p w:rsidR="00793C6C" w:rsidRPr="00A712CE" w:rsidRDefault="00745113" w:rsidP="00A712C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lastRenderedPageBreak/>
        <w:t>Art. 2</w:t>
      </w:r>
      <w:r w:rsidR="00793C6C" w:rsidRPr="00A712CE">
        <w:rPr>
          <w:rFonts w:asciiTheme="majorHAnsi" w:hAnsiTheme="majorHAnsi" w:cstheme="minorHAnsi"/>
          <w:b/>
          <w:bCs/>
          <w:sz w:val="25"/>
          <w:szCs w:val="25"/>
        </w:rPr>
        <w:t>º -</w:t>
      </w:r>
      <w:r w:rsidR="00793C6C" w:rsidRPr="00A712CE">
        <w:rPr>
          <w:rFonts w:asciiTheme="majorHAnsi" w:hAnsiTheme="majorHAnsi" w:cstheme="minorHAnsi"/>
          <w:bCs/>
          <w:sz w:val="25"/>
          <w:szCs w:val="25"/>
        </w:rPr>
        <w:t xml:space="preserve"> </w:t>
      </w:r>
      <w:r w:rsidR="00793C6C" w:rsidRPr="00A712CE">
        <w:rPr>
          <w:rFonts w:asciiTheme="majorHAnsi" w:hAnsiTheme="majorHAnsi" w:cstheme="minorHAnsi"/>
          <w:sz w:val="25"/>
          <w:szCs w:val="25"/>
        </w:rPr>
        <w:t>As despesas decorrentes da execução desta lei correrão por conta das dotações orçamentárias próprias, suplementadas se necessário.</w:t>
      </w:r>
    </w:p>
    <w:p w:rsidR="00793C6C" w:rsidRPr="00A712CE" w:rsidRDefault="00793C6C" w:rsidP="00A712C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</w:p>
    <w:p w:rsidR="00793C6C" w:rsidRPr="00A712CE" w:rsidRDefault="00793C6C" w:rsidP="00A712CE">
      <w:pPr>
        <w:spacing w:after="0" w:line="240" w:lineRule="auto"/>
        <w:contextualSpacing/>
        <w:jc w:val="both"/>
        <w:rPr>
          <w:rFonts w:asciiTheme="majorHAnsi" w:hAnsiTheme="majorHAnsi" w:cstheme="minorHAnsi"/>
          <w:sz w:val="25"/>
          <w:szCs w:val="25"/>
        </w:rPr>
      </w:pPr>
      <w:r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Art. </w:t>
      </w:r>
      <w:r w:rsidR="00A712CE" w:rsidRPr="00A712CE">
        <w:rPr>
          <w:rFonts w:asciiTheme="majorHAnsi" w:hAnsiTheme="majorHAnsi" w:cstheme="minorHAnsi"/>
          <w:b/>
          <w:bCs/>
          <w:sz w:val="25"/>
          <w:szCs w:val="25"/>
        </w:rPr>
        <w:t xml:space="preserve"> </w:t>
      </w:r>
      <w:r w:rsidR="00745113" w:rsidRPr="00A712CE">
        <w:rPr>
          <w:rFonts w:asciiTheme="majorHAnsi" w:hAnsiTheme="majorHAnsi" w:cstheme="minorHAnsi"/>
          <w:b/>
          <w:bCs/>
          <w:sz w:val="25"/>
          <w:szCs w:val="25"/>
        </w:rPr>
        <w:t>3</w:t>
      </w:r>
      <w:r w:rsidRPr="00A712CE">
        <w:rPr>
          <w:rFonts w:asciiTheme="majorHAnsi" w:hAnsiTheme="majorHAnsi" w:cstheme="minorHAnsi"/>
          <w:b/>
          <w:bCs/>
          <w:sz w:val="25"/>
          <w:szCs w:val="25"/>
        </w:rPr>
        <w:t>º -</w:t>
      </w:r>
      <w:r w:rsidRPr="00A712CE">
        <w:rPr>
          <w:rFonts w:asciiTheme="majorHAnsi" w:hAnsiTheme="majorHAnsi" w:cstheme="minorHAnsi"/>
          <w:bCs/>
          <w:sz w:val="25"/>
          <w:szCs w:val="25"/>
        </w:rPr>
        <w:t xml:space="preserve"> </w:t>
      </w:r>
      <w:r w:rsidRPr="00A712CE">
        <w:rPr>
          <w:rFonts w:asciiTheme="majorHAnsi" w:hAnsiTheme="majorHAnsi" w:cstheme="minorHAnsi"/>
          <w:sz w:val="25"/>
          <w:szCs w:val="25"/>
        </w:rPr>
        <w:t xml:space="preserve">Esta </w:t>
      </w:r>
      <w:r w:rsidR="00A712CE" w:rsidRPr="00A712CE">
        <w:rPr>
          <w:rFonts w:asciiTheme="majorHAnsi" w:hAnsiTheme="majorHAnsi" w:cstheme="minorHAnsi"/>
          <w:sz w:val="25"/>
          <w:szCs w:val="25"/>
        </w:rPr>
        <w:t>L</w:t>
      </w:r>
      <w:r w:rsidRPr="00A712CE">
        <w:rPr>
          <w:rFonts w:asciiTheme="majorHAnsi" w:hAnsiTheme="majorHAnsi" w:cstheme="minorHAnsi"/>
          <w:sz w:val="25"/>
          <w:szCs w:val="25"/>
        </w:rPr>
        <w:t xml:space="preserve">ei entra em vigor na data de sua publicação, </w:t>
      </w:r>
      <w:r w:rsidRPr="00A712CE">
        <w:rPr>
          <w:rFonts w:asciiTheme="majorHAnsi" w:hAnsiTheme="majorHAnsi" w:cstheme="minorHAnsi"/>
          <w:bCs/>
          <w:sz w:val="25"/>
          <w:szCs w:val="25"/>
        </w:rPr>
        <w:t>revogadas as disposições em contrário.</w:t>
      </w:r>
    </w:p>
    <w:p w:rsidR="00793C6C" w:rsidRPr="00A712CE" w:rsidRDefault="00793C6C" w:rsidP="00793C6C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A712CE" w:rsidRPr="00A712CE" w:rsidRDefault="00A712CE" w:rsidP="00A712CE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A712CE">
        <w:rPr>
          <w:rFonts w:asciiTheme="majorHAnsi" w:hAnsiTheme="majorHAnsi" w:cs="Tahoma"/>
          <w:bCs/>
          <w:sz w:val="25"/>
          <w:szCs w:val="25"/>
        </w:rPr>
        <w:t>Câmara Municipal de Cordeirópolis, 11 de dezembro de 2019.</w:t>
      </w:r>
    </w:p>
    <w:p w:rsidR="00A712CE" w:rsidRPr="00A712CE" w:rsidRDefault="00A712CE" w:rsidP="00A712CE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A712CE" w:rsidRPr="00A712CE" w:rsidRDefault="00A712CE" w:rsidP="00A712CE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12CE">
        <w:rPr>
          <w:rFonts w:asciiTheme="majorHAnsi" w:hAnsiTheme="majorHAnsi" w:cs="Arial"/>
          <w:b/>
          <w:sz w:val="25"/>
          <w:szCs w:val="25"/>
        </w:rPr>
        <w:t>Verª. Cássia de Moraes</w:t>
      </w:r>
    </w:p>
    <w:p w:rsidR="00A712CE" w:rsidRPr="00A712CE" w:rsidRDefault="00A712CE" w:rsidP="00A712CE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12CE">
        <w:rPr>
          <w:rFonts w:asciiTheme="majorHAnsi" w:hAnsiTheme="majorHAnsi" w:cs="Arial"/>
          <w:b/>
          <w:sz w:val="25"/>
          <w:szCs w:val="25"/>
        </w:rPr>
        <w:t>Presidente</w:t>
      </w:r>
    </w:p>
    <w:p w:rsidR="00A712CE" w:rsidRPr="00A712CE" w:rsidRDefault="00A712CE" w:rsidP="00A712CE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</w:rPr>
      </w:pPr>
    </w:p>
    <w:p w:rsidR="00A712CE" w:rsidRPr="00A712CE" w:rsidRDefault="00A712CE" w:rsidP="00A712CE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712CE" w:rsidRPr="00A712CE" w:rsidRDefault="00A712CE" w:rsidP="00A712CE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A712CE" w:rsidRPr="00A712CE" w:rsidRDefault="00A712CE" w:rsidP="00A712CE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12CE">
        <w:rPr>
          <w:rFonts w:asciiTheme="majorHAnsi" w:hAnsiTheme="majorHAnsi" w:cs="Arial"/>
          <w:b/>
          <w:sz w:val="25"/>
          <w:szCs w:val="25"/>
        </w:rPr>
        <w:t>Ver. Cleverton Nunes de Menezes</w:t>
      </w:r>
      <w:r w:rsidRPr="00A712CE">
        <w:rPr>
          <w:rFonts w:asciiTheme="majorHAnsi" w:hAnsiTheme="majorHAnsi" w:cs="Arial"/>
          <w:b/>
          <w:sz w:val="25"/>
          <w:szCs w:val="25"/>
        </w:rPr>
        <w:tab/>
      </w:r>
      <w:r w:rsidRPr="00A712CE">
        <w:rPr>
          <w:rFonts w:asciiTheme="majorHAnsi" w:hAnsiTheme="majorHAnsi" w:cs="Arial"/>
          <w:b/>
          <w:sz w:val="25"/>
          <w:szCs w:val="25"/>
        </w:rPr>
        <w:tab/>
      </w:r>
      <w:r w:rsidRPr="00A712CE">
        <w:rPr>
          <w:rFonts w:asciiTheme="majorHAnsi" w:hAnsiTheme="majorHAnsi" w:cs="Arial"/>
          <w:b/>
          <w:sz w:val="25"/>
          <w:szCs w:val="25"/>
        </w:rPr>
        <w:tab/>
        <w:t xml:space="preserve">Ver. Laerte Lourenço </w:t>
      </w:r>
    </w:p>
    <w:p w:rsidR="00A712CE" w:rsidRPr="00A712CE" w:rsidRDefault="00A712CE" w:rsidP="00A712CE">
      <w:pPr>
        <w:spacing w:after="0" w:line="240" w:lineRule="auto"/>
        <w:jc w:val="center"/>
        <w:rPr>
          <w:rFonts w:asciiTheme="majorHAnsi" w:hAnsiTheme="majorHAnsi" w:cs="Arial"/>
          <w:b/>
          <w:sz w:val="25"/>
          <w:szCs w:val="25"/>
        </w:rPr>
      </w:pPr>
      <w:r w:rsidRPr="00A712CE">
        <w:rPr>
          <w:rFonts w:asciiTheme="majorHAnsi" w:hAnsiTheme="majorHAnsi" w:cs="Arial"/>
          <w:b/>
          <w:sz w:val="25"/>
          <w:szCs w:val="25"/>
        </w:rPr>
        <w:t xml:space="preserve">     1º Secretário</w:t>
      </w:r>
      <w:r w:rsidRPr="00A712CE">
        <w:rPr>
          <w:rFonts w:asciiTheme="majorHAnsi" w:hAnsiTheme="majorHAnsi" w:cs="Arial"/>
          <w:b/>
          <w:sz w:val="25"/>
          <w:szCs w:val="25"/>
        </w:rPr>
        <w:tab/>
      </w:r>
      <w:r w:rsidRPr="00A712CE">
        <w:rPr>
          <w:rFonts w:asciiTheme="majorHAnsi" w:hAnsiTheme="majorHAnsi" w:cs="Arial"/>
          <w:b/>
          <w:sz w:val="25"/>
          <w:szCs w:val="25"/>
        </w:rPr>
        <w:tab/>
      </w:r>
      <w:r w:rsidRPr="00A712CE">
        <w:rPr>
          <w:rFonts w:asciiTheme="majorHAnsi" w:hAnsiTheme="majorHAnsi" w:cs="Arial"/>
          <w:b/>
          <w:sz w:val="25"/>
          <w:szCs w:val="25"/>
        </w:rPr>
        <w:tab/>
      </w:r>
      <w:r w:rsidRPr="00A712CE">
        <w:rPr>
          <w:rFonts w:asciiTheme="majorHAnsi" w:hAnsiTheme="majorHAnsi" w:cs="Arial"/>
          <w:b/>
          <w:sz w:val="25"/>
          <w:szCs w:val="25"/>
        </w:rPr>
        <w:tab/>
        <w:t xml:space="preserve">                   2º Secretário</w:t>
      </w:r>
    </w:p>
    <w:p w:rsidR="00A712CE" w:rsidRPr="00A712CE" w:rsidRDefault="00A712CE" w:rsidP="00A712CE">
      <w:pPr>
        <w:spacing w:after="0" w:line="240" w:lineRule="auto"/>
        <w:rPr>
          <w:rFonts w:asciiTheme="majorHAnsi" w:hAnsiTheme="majorHAnsi"/>
          <w:sz w:val="25"/>
          <w:szCs w:val="25"/>
        </w:rPr>
      </w:pPr>
    </w:p>
    <w:p w:rsidR="00A712CE" w:rsidRPr="00A712CE" w:rsidRDefault="00A712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026DCE" w:rsidRPr="00A712CE" w:rsidRDefault="00026D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026DCE" w:rsidRPr="00A712CE" w:rsidRDefault="00026D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026DCE" w:rsidRPr="00A712CE" w:rsidRDefault="00026D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026DCE" w:rsidRPr="00A712CE" w:rsidRDefault="00026D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p w:rsidR="00773CAF" w:rsidRPr="00A712CE" w:rsidRDefault="00773CAF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bookmarkEnd w:id="0"/>
    <w:p w:rsidR="00026DCE" w:rsidRPr="00A712CE" w:rsidRDefault="00026DCE" w:rsidP="00A712CE">
      <w:pPr>
        <w:pStyle w:val="NormalWeb"/>
        <w:spacing w:before="0" w:beforeAutospacing="0" w:after="0" w:afterAutospacing="0"/>
        <w:contextualSpacing/>
        <w:jc w:val="both"/>
        <w:rPr>
          <w:rFonts w:asciiTheme="majorHAnsi" w:hAnsiTheme="majorHAnsi"/>
          <w:b/>
          <w:color w:val="000000"/>
          <w:sz w:val="25"/>
          <w:szCs w:val="25"/>
        </w:rPr>
      </w:pPr>
    </w:p>
    <w:sectPr w:rsidR="00026DCE" w:rsidRPr="00A712CE" w:rsidSect="00A712CE">
      <w:headerReference w:type="default" r:id="rId7"/>
      <w:pgSz w:w="11906" w:h="16838" w:code="9"/>
      <w:pgMar w:top="1758" w:right="851" w:bottom="1021" w:left="102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9F" w:rsidRDefault="001C4C9F" w:rsidP="005F3E6D">
      <w:pPr>
        <w:spacing w:after="0" w:line="240" w:lineRule="auto"/>
      </w:pPr>
      <w:r>
        <w:separator/>
      </w:r>
    </w:p>
  </w:endnote>
  <w:endnote w:type="continuationSeparator" w:id="0">
    <w:p w:rsidR="001C4C9F" w:rsidRDefault="001C4C9F" w:rsidP="005F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9F" w:rsidRDefault="001C4C9F" w:rsidP="005F3E6D">
      <w:pPr>
        <w:spacing w:after="0" w:line="240" w:lineRule="auto"/>
      </w:pPr>
      <w:r>
        <w:separator/>
      </w:r>
    </w:p>
  </w:footnote>
  <w:footnote w:type="continuationSeparator" w:id="0">
    <w:p w:rsidR="001C4C9F" w:rsidRDefault="001C4C9F" w:rsidP="005F3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835838"/>
      <w:docPartObj>
        <w:docPartGallery w:val="Page Numbers (Top of Page)"/>
        <w:docPartUnique/>
      </w:docPartObj>
    </w:sdtPr>
    <w:sdtContent>
      <w:p w:rsidR="00A712CE" w:rsidRDefault="00A712CE">
        <w:pPr>
          <w:pStyle w:val="Cabealho"/>
          <w:jc w:val="right"/>
        </w:pPr>
      </w:p>
      <w:p w:rsidR="003324DD" w:rsidRDefault="00B353A0">
        <w:pPr>
          <w:pStyle w:val="Cabealho"/>
          <w:jc w:val="right"/>
        </w:pPr>
      </w:p>
    </w:sdtContent>
  </w:sdt>
  <w:p w:rsidR="003324DD" w:rsidRDefault="003324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95978"/>
    <w:rsid w:val="00026DCE"/>
    <w:rsid w:val="0007604D"/>
    <w:rsid w:val="00091314"/>
    <w:rsid w:val="000960A6"/>
    <w:rsid w:val="000F1C2F"/>
    <w:rsid w:val="00100175"/>
    <w:rsid w:val="00122202"/>
    <w:rsid w:val="00191AD6"/>
    <w:rsid w:val="001951BA"/>
    <w:rsid w:val="00195978"/>
    <w:rsid w:val="001C4C9F"/>
    <w:rsid w:val="002105EE"/>
    <w:rsid w:val="00282476"/>
    <w:rsid w:val="00296AB7"/>
    <w:rsid w:val="002F7AAE"/>
    <w:rsid w:val="0031116D"/>
    <w:rsid w:val="003324DD"/>
    <w:rsid w:val="004249A2"/>
    <w:rsid w:val="00490E31"/>
    <w:rsid w:val="004A5E04"/>
    <w:rsid w:val="004D511D"/>
    <w:rsid w:val="005001EB"/>
    <w:rsid w:val="00537532"/>
    <w:rsid w:val="005D7D03"/>
    <w:rsid w:val="005F3E6D"/>
    <w:rsid w:val="00620129"/>
    <w:rsid w:val="00696EE8"/>
    <w:rsid w:val="006A644F"/>
    <w:rsid w:val="006B304A"/>
    <w:rsid w:val="006E05E6"/>
    <w:rsid w:val="00736BC3"/>
    <w:rsid w:val="00745113"/>
    <w:rsid w:val="00753DAE"/>
    <w:rsid w:val="00773CAF"/>
    <w:rsid w:val="0078173C"/>
    <w:rsid w:val="00793C6C"/>
    <w:rsid w:val="007970DF"/>
    <w:rsid w:val="007A7E67"/>
    <w:rsid w:val="007B1416"/>
    <w:rsid w:val="007B436D"/>
    <w:rsid w:val="00843E55"/>
    <w:rsid w:val="00846950"/>
    <w:rsid w:val="008A0EE5"/>
    <w:rsid w:val="008B4174"/>
    <w:rsid w:val="008B667F"/>
    <w:rsid w:val="008C3D2C"/>
    <w:rsid w:val="008C449F"/>
    <w:rsid w:val="009154E0"/>
    <w:rsid w:val="00996B14"/>
    <w:rsid w:val="009A686E"/>
    <w:rsid w:val="009C542F"/>
    <w:rsid w:val="00A11BB9"/>
    <w:rsid w:val="00A4311B"/>
    <w:rsid w:val="00A56859"/>
    <w:rsid w:val="00A712CE"/>
    <w:rsid w:val="00A84A35"/>
    <w:rsid w:val="00AB3D7F"/>
    <w:rsid w:val="00AD3994"/>
    <w:rsid w:val="00B353A0"/>
    <w:rsid w:val="00BC7E00"/>
    <w:rsid w:val="00BF24A5"/>
    <w:rsid w:val="00CC13E2"/>
    <w:rsid w:val="00CD407E"/>
    <w:rsid w:val="00D81DD4"/>
    <w:rsid w:val="00DD44DF"/>
    <w:rsid w:val="00E43E58"/>
    <w:rsid w:val="00E606B6"/>
    <w:rsid w:val="00E7085C"/>
    <w:rsid w:val="00EC52CA"/>
    <w:rsid w:val="00ED61D3"/>
    <w:rsid w:val="00F677DB"/>
    <w:rsid w:val="00F7734E"/>
    <w:rsid w:val="00F830E4"/>
    <w:rsid w:val="00FB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39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3E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E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E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3E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1D"/>
  </w:style>
  <w:style w:type="paragraph" w:styleId="Rodap">
    <w:name w:val="footer"/>
    <w:basedOn w:val="Normal"/>
    <w:link w:val="Rodap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39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3E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E6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E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F3E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11D"/>
  </w:style>
  <w:style w:type="paragraph" w:styleId="Rodap">
    <w:name w:val="footer"/>
    <w:basedOn w:val="Normal"/>
    <w:link w:val="RodapChar"/>
    <w:uiPriority w:val="99"/>
    <w:unhideWhenUsed/>
    <w:rsid w:val="004D51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1796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895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4D52-A4C9-415B-9A0D-65ACE907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</cp:lastModifiedBy>
  <cp:revision>26</cp:revision>
  <cp:lastPrinted>2019-12-11T16:13:00Z</cp:lastPrinted>
  <dcterms:created xsi:type="dcterms:W3CDTF">2019-08-19T19:03:00Z</dcterms:created>
  <dcterms:modified xsi:type="dcterms:W3CDTF">2019-12-11T16:14:00Z</dcterms:modified>
</cp:coreProperties>
</file>