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09" w:rsidRPr="00306CD4" w:rsidRDefault="00E21309" w:rsidP="0015455B">
      <w:pPr>
        <w:pStyle w:val="Ttulo2"/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6CD4">
        <w:rPr>
          <w:rFonts w:asciiTheme="minorHAnsi" w:hAnsiTheme="minorHAnsi" w:cstheme="minorHAnsi"/>
          <w:color w:val="000000" w:themeColor="text1"/>
          <w:sz w:val="24"/>
          <w:szCs w:val="24"/>
        </w:rPr>
        <w:t>EMENDA</w:t>
      </w:r>
      <w:r w:rsidR="006C36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Nº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AO PROJETO DE LEI Nº 35</w:t>
      </w:r>
      <w:r w:rsidRPr="00306CD4">
        <w:rPr>
          <w:rFonts w:asciiTheme="minorHAnsi" w:hAnsiTheme="minorHAnsi" w:cstheme="minorHAnsi"/>
          <w:color w:val="000000" w:themeColor="text1"/>
          <w:sz w:val="24"/>
          <w:szCs w:val="24"/>
        </w:rPr>
        <w:t>/2018</w:t>
      </w:r>
    </w:p>
    <w:p w:rsidR="00E21309" w:rsidRPr="00BA1594" w:rsidRDefault="00E21309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position w:val="-2"/>
          <w:sz w:val="10"/>
          <w:szCs w:val="10"/>
        </w:rPr>
      </w:pPr>
    </w:p>
    <w:p w:rsidR="00E21309" w:rsidRPr="00A3091C" w:rsidRDefault="00E21309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position w:val="-2"/>
        </w:rPr>
      </w:pPr>
    </w:p>
    <w:p w:rsidR="00E21309" w:rsidRPr="00A3091C" w:rsidRDefault="00E21309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Modifica</w:t>
      </w:r>
      <w:r w:rsidRPr="00A3091C">
        <w:rPr>
          <w:rFonts w:asciiTheme="minorHAnsi" w:hAnsiTheme="minorHAnsi" w:cstheme="minorHAnsi"/>
          <w:color w:val="000000" w:themeColor="text1"/>
        </w:rPr>
        <w:t xml:space="preserve"> a redação do artigo </w:t>
      </w:r>
      <w:r>
        <w:rPr>
          <w:rFonts w:asciiTheme="minorHAnsi" w:hAnsiTheme="minorHAnsi" w:cstheme="minorHAnsi"/>
          <w:color w:val="000000" w:themeColor="text1"/>
        </w:rPr>
        <w:t>1</w:t>
      </w:r>
      <w:r w:rsidRPr="00A3091C">
        <w:rPr>
          <w:rFonts w:asciiTheme="minorHAnsi" w:hAnsiTheme="minorHAnsi" w:cstheme="minorHAnsi"/>
          <w:color w:val="000000" w:themeColor="text1"/>
        </w:rPr>
        <w:t>º do projeto de lei em epígrafe, o qual passa a vigorar nestes termos:</w:t>
      </w:r>
    </w:p>
    <w:p w:rsidR="00E21309" w:rsidRPr="00A3091C" w:rsidRDefault="00E21309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position w:val="-2"/>
        </w:rPr>
      </w:pP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ajorHAnsi" w:hAnsiTheme="majorHAnsi" w:cs="Arial"/>
          <w:color w:val="000000" w:themeColor="text1"/>
        </w:rPr>
      </w:pPr>
      <w:proofErr w:type="gramStart"/>
      <w:r w:rsidRPr="00D91285">
        <w:rPr>
          <w:rFonts w:asciiTheme="majorHAnsi" w:hAnsiTheme="majorHAnsi" w:cs="Arial"/>
          <w:color w:val="000000" w:themeColor="text1"/>
        </w:rPr>
        <w:t>“</w:t>
      </w:r>
      <w:r>
        <w:rPr>
          <w:rFonts w:asciiTheme="majorHAnsi" w:hAnsiTheme="majorHAnsi" w:cs="Arial"/>
          <w:color w:val="000000" w:themeColor="text1"/>
        </w:rPr>
        <w:t xml:space="preserve">Art. 1º O texto do artigo 3º e seus parágrafos 2º e 4º da Lei Municipal nº 3.097, de 14 de junho de 2017, passa a vigorar </w:t>
      </w:r>
      <w:r w:rsidR="006C3684">
        <w:rPr>
          <w:rFonts w:asciiTheme="majorHAnsi" w:hAnsiTheme="majorHAnsi" w:cs="Arial"/>
          <w:color w:val="000000" w:themeColor="text1"/>
        </w:rPr>
        <w:t>com</w:t>
      </w:r>
      <w:r>
        <w:rPr>
          <w:rFonts w:asciiTheme="majorHAnsi" w:hAnsiTheme="majorHAnsi" w:cs="Arial"/>
          <w:color w:val="000000" w:themeColor="text1"/>
        </w:rPr>
        <w:t xml:space="preserve"> seguintes termos:</w:t>
      </w: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ajorHAnsi" w:hAnsiTheme="majorHAnsi" w:cs="Arial"/>
          <w:color w:val="000000" w:themeColor="text1"/>
        </w:rPr>
      </w:pPr>
      <w:proofErr w:type="gramEnd"/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Art. 3º A Prefeitura Municipal de Cordeirópolis realizará a fiscalização e o cumprimento desta Lei por meio da Secretaria de Obras e Planejamento e da Secretaria Municipal de Meio Ambiente, cada uma no âmbito de suas competências, </w:t>
      </w:r>
      <w:r w:rsidR="002640F6">
        <w:rPr>
          <w:rFonts w:asciiTheme="majorHAnsi" w:hAnsiTheme="majorHAnsi" w:cs="Arial"/>
          <w:color w:val="000000" w:themeColor="text1"/>
        </w:rPr>
        <w:t xml:space="preserve">e adotará os </w:t>
      </w:r>
      <w:r>
        <w:rPr>
          <w:rFonts w:asciiTheme="majorHAnsi" w:hAnsiTheme="majorHAnsi" w:cs="Arial"/>
          <w:color w:val="000000" w:themeColor="text1"/>
        </w:rPr>
        <w:t>seguintes procedimentos:</w:t>
      </w: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Theme="majorHAnsi" w:hAnsiTheme="majorHAnsi" w:cs="Arial"/>
          <w:color w:val="000000" w:themeColor="text1"/>
        </w:rPr>
      </w:pP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§1º </w:t>
      </w:r>
      <w:proofErr w:type="gramStart"/>
      <w:r>
        <w:rPr>
          <w:rFonts w:asciiTheme="majorHAnsi" w:hAnsiTheme="majorHAnsi" w:cs="Arial"/>
          <w:color w:val="000000" w:themeColor="text1"/>
        </w:rPr>
        <w:t>- ...</w:t>
      </w:r>
      <w:proofErr w:type="gramEnd"/>
      <w:r>
        <w:rPr>
          <w:rFonts w:asciiTheme="majorHAnsi" w:hAnsiTheme="majorHAnsi" w:cs="Arial"/>
          <w:color w:val="000000" w:themeColor="text1"/>
        </w:rPr>
        <w:t>...............................</w:t>
      </w: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Theme="majorHAnsi" w:hAnsiTheme="majorHAnsi" w:cs="Arial"/>
          <w:color w:val="000000" w:themeColor="text1"/>
        </w:rPr>
      </w:pP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Theme="majorHAnsi" w:hAnsiTheme="majorHAnsi" w:cs="Arial"/>
          <w:color w:val="000000" w:themeColor="text1"/>
          <w:position w:val="-2"/>
        </w:rPr>
      </w:pPr>
      <w:r w:rsidRPr="00B91F35">
        <w:rPr>
          <w:rFonts w:asciiTheme="majorHAnsi" w:hAnsiTheme="majorHAnsi" w:cs="Arial"/>
          <w:color w:val="000000" w:themeColor="text1"/>
          <w:position w:val="-2"/>
        </w:rPr>
        <w:t xml:space="preserve">§2º Exigir a apresentação do DOF (Documento de Origem Florestal) </w:t>
      </w:r>
      <w:r>
        <w:rPr>
          <w:rFonts w:asciiTheme="majorHAnsi" w:hAnsiTheme="majorHAnsi" w:cs="Arial"/>
          <w:color w:val="000000" w:themeColor="text1"/>
          <w:position w:val="-2"/>
        </w:rPr>
        <w:t>no recebimento de obras de construção, edificação, reparo e reforma executadas por empresas terceirizadas, quando houver a utilização de madeira de origem nativa.</w:t>
      </w: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Theme="majorHAnsi" w:hAnsiTheme="majorHAnsi" w:cs="Arial"/>
          <w:color w:val="000000" w:themeColor="text1"/>
          <w:position w:val="-2"/>
        </w:rPr>
      </w:pP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  <w:position w:val="-2"/>
        </w:rPr>
        <w:t>§3º</w:t>
      </w:r>
      <w:proofErr w:type="gramStart"/>
      <w:r>
        <w:rPr>
          <w:rFonts w:asciiTheme="majorHAnsi" w:hAnsiTheme="majorHAnsi" w:cs="Arial"/>
          <w:color w:val="000000" w:themeColor="text1"/>
        </w:rPr>
        <w:t>- ...</w:t>
      </w:r>
      <w:proofErr w:type="gramEnd"/>
      <w:r>
        <w:rPr>
          <w:rFonts w:asciiTheme="majorHAnsi" w:hAnsiTheme="majorHAnsi" w:cs="Arial"/>
          <w:color w:val="000000" w:themeColor="text1"/>
        </w:rPr>
        <w:t>...............................</w:t>
      </w: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Theme="majorHAnsi" w:hAnsiTheme="majorHAnsi" w:cs="Arial"/>
          <w:color w:val="000000" w:themeColor="text1"/>
        </w:rPr>
      </w:pPr>
    </w:p>
    <w:p w:rsidR="00E21309" w:rsidRPr="00B91F35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Theme="majorHAnsi" w:hAnsiTheme="majorHAnsi" w:cs="Arial"/>
          <w:color w:val="000000" w:themeColor="text1"/>
          <w:position w:val="-2"/>
        </w:rPr>
      </w:pPr>
      <w:r>
        <w:rPr>
          <w:rFonts w:asciiTheme="majorHAnsi" w:hAnsiTheme="majorHAnsi" w:cs="Arial"/>
          <w:color w:val="000000" w:themeColor="text1"/>
          <w:position w:val="-2"/>
        </w:rPr>
        <w:t>§4</w:t>
      </w:r>
      <w:r w:rsidRPr="00B91F35">
        <w:rPr>
          <w:rFonts w:asciiTheme="majorHAnsi" w:hAnsiTheme="majorHAnsi" w:cs="Arial"/>
          <w:color w:val="000000" w:themeColor="text1"/>
          <w:position w:val="-2"/>
        </w:rPr>
        <w:t xml:space="preserve">º </w:t>
      </w:r>
      <w:r>
        <w:rPr>
          <w:rFonts w:asciiTheme="majorHAnsi" w:hAnsiTheme="majorHAnsi" w:cs="Arial"/>
          <w:color w:val="000000" w:themeColor="text1"/>
          <w:position w:val="-2"/>
        </w:rPr>
        <w:t>Lançar nos Memoriais Descritivos das Plantas e Projetos de obras e reformas de particulares aprovados a obrigatoriedade da utilização de madeira de procedência legal.”</w:t>
      </w:r>
    </w:p>
    <w:p w:rsidR="00E21309" w:rsidRPr="00D91285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asciiTheme="majorHAnsi" w:hAnsiTheme="majorHAnsi" w:cs="Arial"/>
          <w:color w:val="000000" w:themeColor="text1"/>
        </w:rPr>
      </w:pP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position w:val="-2"/>
        </w:rPr>
      </w:pPr>
      <w:r w:rsidRPr="00A3091C">
        <w:rPr>
          <w:rFonts w:asciiTheme="minorHAnsi" w:hAnsiTheme="minorHAnsi" w:cstheme="minorHAnsi"/>
          <w:i/>
          <w:color w:val="000000" w:themeColor="text1"/>
          <w:position w:val="-2"/>
        </w:rPr>
        <w:t>Justificativa:</w:t>
      </w:r>
      <w:r w:rsidRPr="00A3091C">
        <w:rPr>
          <w:rFonts w:asciiTheme="minorHAnsi" w:hAnsiTheme="minorHAnsi" w:cstheme="minorHAnsi"/>
          <w:color w:val="000000" w:themeColor="text1"/>
          <w:position w:val="-2"/>
        </w:rPr>
        <w:t xml:space="preserve"> </w:t>
      </w: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position w:val="-2"/>
        </w:rPr>
      </w:pPr>
    </w:p>
    <w:p w:rsidR="00E21309" w:rsidRDefault="00E21309" w:rsidP="0015455B">
      <w:pPr>
        <w:pStyle w:val="PargrafodaLista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color w:val="000000" w:themeColor="text1"/>
          <w:position w:val="-2"/>
        </w:rPr>
      </w:pPr>
      <w:r>
        <w:rPr>
          <w:rFonts w:asciiTheme="minorHAnsi" w:hAnsiTheme="minorHAnsi" w:cstheme="minorHAnsi"/>
          <w:color w:val="000000" w:themeColor="text1"/>
          <w:position w:val="-2"/>
        </w:rPr>
        <w:lastRenderedPageBreak/>
        <w:t xml:space="preserve">Em relação ao art. 3º acima alterado: </w:t>
      </w:r>
      <w:r w:rsidRPr="00A3091C">
        <w:rPr>
          <w:rFonts w:asciiTheme="minorHAnsi" w:hAnsiTheme="minorHAnsi" w:cstheme="minorHAnsi"/>
          <w:color w:val="000000" w:themeColor="text1"/>
          <w:position w:val="-2"/>
        </w:rPr>
        <w:t>Melhora a redação.</w:t>
      </w:r>
      <w:r>
        <w:rPr>
          <w:rFonts w:asciiTheme="minorHAnsi" w:hAnsiTheme="minorHAnsi" w:cstheme="minorHAnsi"/>
          <w:color w:val="000000" w:themeColor="text1"/>
          <w:position w:val="-2"/>
        </w:rPr>
        <w:t xml:space="preserve"> Atribui à Secretaria do Meio Ambiente a competência para fiscalizar o cumprimento da Lei, de acordo com suas atribuições. </w:t>
      </w:r>
    </w:p>
    <w:p w:rsidR="00E21309" w:rsidRDefault="00E21309" w:rsidP="0015455B">
      <w:pPr>
        <w:pStyle w:val="PargrafodaLista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position w:val="-2"/>
        </w:rPr>
      </w:pPr>
    </w:p>
    <w:p w:rsidR="00E21309" w:rsidRPr="00E21309" w:rsidRDefault="00E21309" w:rsidP="0015455B">
      <w:pPr>
        <w:pStyle w:val="PargrafodaLista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color w:val="000000" w:themeColor="text1"/>
          <w:position w:val="-2"/>
        </w:rPr>
      </w:pPr>
      <w:r w:rsidRPr="00E21309">
        <w:rPr>
          <w:rFonts w:asciiTheme="minorHAnsi" w:hAnsiTheme="minorHAnsi" w:cstheme="minorHAnsi"/>
          <w:color w:val="000000" w:themeColor="text1"/>
          <w:position w:val="-2"/>
        </w:rPr>
        <w:t xml:space="preserve">Em relação ao §2º acima alterado: </w:t>
      </w:r>
      <w:r w:rsidRPr="00E21309">
        <w:rPr>
          <w:rFonts w:asciiTheme="minorHAnsi" w:hAnsiTheme="minorHAnsi" w:cstheme="minorHAnsi"/>
          <w:color w:val="000000" w:themeColor="text1"/>
        </w:rPr>
        <w:t xml:space="preserve">Suprime os termos “certificada pela Secretaria do Meio Ambiente”. </w:t>
      </w:r>
      <w:r w:rsidRPr="00E21309">
        <w:rPr>
          <w:rFonts w:asciiTheme="minorHAnsi" w:hAnsiTheme="minorHAnsi" w:cstheme="minorHAnsi"/>
          <w:color w:val="000000" w:themeColor="text1"/>
          <w:position w:val="-2"/>
        </w:rPr>
        <w:t>Melhora a redação e retira a ambiguidade do artigo no que diz respeito à conceituação de madeira legal e de madeira certificada. Os termos “madeira legal” significa que a extração é autorizada por órgãos ambientais e, assim, o produto possui o Documento de Origem Florestal (DOF). Por sua vez, os termos “Madeira certificada” dizem respeito à CERTIFICAÇÃO florestal por meio de um sistema de inspeção NÃO OBRIGATÓRIO realizado por empresa contratada, a qual emite um selo de certificação assegurando a origem do produto e que a extração da madeira obedeceu a critérios e princípios ambientais, sociais e econômicos. Por esta diferenciação conceitual é que o termo “</w:t>
      </w:r>
      <w:r w:rsidRPr="00E21309">
        <w:rPr>
          <w:rFonts w:asciiTheme="minorHAnsi" w:hAnsiTheme="minorHAnsi" w:cstheme="minorHAnsi"/>
          <w:color w:val="000000" w:themeColor="text1"/>
        </w:rPr>
        <w:t>certificada pela S</w:t>
      </w:r>
      <w:r w:rsidR="00642619">
        <w:rPr>
          <w:rFonts w:asciiTheme="minorHAnsi" w:hAnsiTheme="minorHAnsi" w:cstheme="minorHAnsi"/>
          <w:color w:val="000000" w:themeColor="text1"/>
        </w:rPr>
        <w:t>ecretaria do Meio Ambiente” deva</w:t>
      </w:r>
      <w:r w:rsidRPr="00E21309">
        <w:rPr>
          <w:rFonts w:asciiTheme="minorHAnsi" w:hAnsiTheme="minorHAnsi" w:cstheme="minorHAnsi"/>
          <w:color w:val="000000" w:themeColor="text1"/>
        </w:rPr>
        <w:t xml:space="preserve"> ser retirado.</w:t>
      </w:r>
      <w:r w:rsidR="00FE3AFA">
        <w:rPr>
          <w:rFonts w:asciiTheme="minorHAnsi" w:hAnsiTheme="minorHAnsi" w:cstheme="minorHAnsi"/>
          <w:color w:val="000000" w:themeColor="text1"/>
        </w:rPr>
        <w:t xml:space="preserve"> </w:t>
      </w:r>
      <w:r w:rsidR="00642619">
        <w:rPr>
          <w:rFonts w:asciiTheme="minorHAnsi" w:hAnsiTheme="minorHAnsi" w:cstheme="minorHAnsi"/>
          <w:color w:val="000000" w:themeColor="text1"/>
        </w:rPr>
        <w:t xml:space="preserve">Ressalto que nenhum prejuízo trará à conferência dos documentos pela Secretaria Municipal do Meio Ambiente, tendo em vista que a atividade fiscalizatória lhe foi atribuída no </w:t>
      </w:r>
      <w:r w:rsidR="00642619" w:rsidRPr="00642619">
        <w:rPr>
          <w:rFonts w:asciiTheme="minorHAnsi" w:hAnsiTheme="minorHAnsi" w:cstheme="minorHAnsi"/>
          <w:i/>
          <w:color w:val="000000" w:themeColor="text1"/>
        </w:rPr>
        <w:t>caput</w:t>
      </w:r>
      <w:r w:rsidR="00642619">
        <w:rPr>
          <w:rFonts w:asciiTheme="minorHAnsi" w:hAnsiTheme="minorHAnsi" w:cstheme="minorHAnsi"/>
          <w:color w:val="000000" w:themeColor="text1"/>
        </w:rPr>
        <w:t xml:space="preserve"> do art. 3º.</w:t>
      </w:r>
    </w:p>
    <w:p w:rsidR="00E21309" w:rsidRPr="00E21309" w:rsidRDefault="00E21309" w:rsidP="0015455B">
      <w:pPr>
        <w:pStyle w:val="PargrafodaLista"/>
        <w:spacing w:line="360" w:lineRule="auto"/>
        <w:jc w:val="both"/>
        <w:rPr>
          <w:rFonts w:asciiTheme="minorHAnsi" w:hAnsiTheme="minorHAnsi" w:cstheme="minorHAnsi"/>
          <w:color w:val="000000" w:themeColor="text1"/>
          <w:position w:val="-2"/>
        </w:rPr>
      </w:pPr>
    </w:p>
    <w:p w:rsidR="00E21309" w:rsidRPr="00E21309" w:rsidRDefault="00E21309" w:rsidP="0015455B">
      <w:pPr>
        <w:pStyle w:val="PargrafodaLista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color w:val="000000" w:themeColor="text1"/>
          <w:position w:val="-2"/>
        </w:rPr>
      </w:pPr>
      <w:r w:rsidRPr="00E21309">
        <w:rPr>
          <w:rFonts w:asciiTheme="minorHAnsi" w:hAnsiTheme="minorHAnsi" w:cstheme="minorHAnsi"/>
          <w:color w:val="000000" w:themeColor="text1"/>
          <w:position w:val="-2"/>
        </w:rPr>
        <w:t xml:space="preserve">Em relação ao §4º acima alterado: </w:t>
      </w:r>
      <w:r w:rsidRPr="00E21309">
        <w:rPr>
          <w:rFonts w:asciiTheme="minorHAnsi" w:hAnsiTheme="minorHAnsi" w:cstheme="minorHAnsi"/>
          <w:color w:val="000000" w:themeColor="text1"/>
        </w:rPr>
        <w:t xml:space="preserve">Suprime as palavras </w:t>
      </w:r>
      <w:r w:rsidRPr="00E21309">
        <w:rPr>
          <w:rFonts w:asciiTheme="minorHAnsi" w:hAnsiTheme="minorHAnsi" w:cstheme="minorHAnsi"/>
          <w:color w:val="000000" w:themeColor="text1"/>
          <w:position w:val="-2"/>
        </w:rPr>
        <w:t>“</w:t>
      </w:r>
      <w:r w:rsidRPr="00E21309">
        <w:rPr>
          <w:rFonts w:asciiTheme="minorHAnsi" w:hAnsiTheme="minorHAnsi" w:cstheme="minorHAnsi"/>
          <w:i/>
          <w:color w:val="000000" w:themeColor="text1"/>
          <w:position w:val="-2"/>
        </w:rPr>
        <w:t xml:space="preserve">e da exigência a apresentação do DOF (Documento de Origem Florestal) quando se tratar de madeira de origem nativa para: expedição de Habite-se, Aceite e Certidão de Conclusão de Obra, com conferência da Secretaria Municipal do Meio Ambiente”. </w:t>
      </w:r>
      <w:r w:rsidRPr="00E21309">
        <w:rPr>
          <w:rFonts w:asciiTheme="minorHAnsi" w:hAnsiTheme="minorHAnsi" w:cstheme="minorHAnsi"/>
          <w:color w:val="000000" w:themeColor="text1"/>
          <w:position w:val="-2"/>
        </w:rPr>
        <w:t>A Lei nº 12.651 de 25 de maio de 2012, estabelece o seguinte:</w:t>
      </w: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position w:val="-2"/>
        </w:rPr>
      </w:pPr>
    </w:p>
    <w:p w:rsidR="00E21309" w:rsidRPr="00BA0182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inorHAnsi" w:hAnsiTheme="minorHAnsi" w:cstheme="minorHAnsi"/>
          <w:i/>
          <w:color w:val="000000" w:themeColor="text1"/>
          <w:position w:val="-2"/>
        </w:rPr>
      </w:pP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 xml:space="preserve">Art. 36.  O transporte, por qualquer meio, e o armazenamento de madeira, lenha, carvão e outros produtos ou subprodutos florestais oriundos de florestas de espécies nativas, </w:t>
      </w:r>
      <w:r w:rsidRPr="00BA0182">
        <w:rPr>
          <w:rFonts w:asciiTheme="minorHAnsi" w:hAnsiTheme="minorHAnsi" w:cstheme="minorHAnsi"/>
          <w:b/>
          <w:i/>
          <w:color w:val="000000" w:themeColor="text1"/>
          <w:position w:val="-2"/>
          <w:u w:val="single"/>
        </w:rPr>
        <w:t>para fins comerciais ou industriais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 xml:space="preserve">, requerem licença do órgão competente do </w:t>
      </w:r>
      <w:proofErr w:type="spellStart"/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>Sisnama</w:t>
      </w:r>
      <w:proofErr w:type="spellEnd"/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>, observado o disposto no art. 35.</w:t>
      </w:r>
    </w:p>
    <w:p w:rsidR="00E21309" w:rsidRPr="00BA0182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inorHAnsi" w:hAnsiTheme="minorHAnsi" w:cstheme="minorHAnsi"/>
          <w:i/>
          <w:color w:val="000000" w:themeColor="text1"/>
          <w:position w:val="-2"/>
        </w:rPr>
      </w:pP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lastRenderedPageBreak/>
        <w:t>§ 1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  <w:u w:val="single"/>
          <w:vertAlign w:val="superscript"/>
        </w:rPr>
        <w:t>o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>  A licença prevista no caput</w:t>
      </w:r>
      <w:r w:rsidRPr="00BA0182">
        <w:rPr>
          <w:rFonts w:asciiTheme="minorHAnsi" w:hAnsiTheme="minorHAnsi" w:cstheme="minorHAnsi"/>
          <w:i/>
          <w:iCs/>
          <w:color w:val="000000" w:themeColor="text1"/>
          <w:position w:val="-2"/>
        </w:rPr>
        <w:t> 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>será formalizada por meio da emissã</w:t>
      </w:r>
      <w:bookmarkStart w:id="0" w:name="_GoBack"/>
      <w:bookmarkEnd w:id="0"/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>o do DOF, que deverá acompanhar o material até o beneficiamento final.</w:t>
      </w:r>
    </w:p>
    <w:p w:rsidR="00E21309" w:rsidRPr="00BA0182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inorHAnsi" w:hAnsiTheme="minorHAnsi" w:cstheme="minorHAnsi"/>
          <w:i/>
          <w:color w:val="000000" w:themeColor="text1"/>
          <w:position w:val="-2"/>
        </w:rPr>
      </w:pPr>
    </w:p>
    <w:p w:rsidR="00E21309" w:rsidRPr="00BA0182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inorHAnsi" w:hAnsiTheme="minorHAnsi" w:cstheme="minorHAnsi"/>
          <w:i/>
          <w:color w:val="000000" w:themeColor="text1"/>
          <w:position w:val="-2"/>
        </w:rPr>
      </w:pP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>§ 2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  <w:u w:val="single"/>
          <w:vertAlign w:val="superscript"/>
        </w:rPr>
        <w:t>o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 xml:space="preserve">  </w:t>
      </w:r>
      <w:r w:rsidRPr="00BA0182">
        <w:rPr>
          <w:rFonts w:asciiTheme="minorHAnsi" w:hAnsiTheme="minorHAnsi" w:cstheme="minorHAnsi"/>
          <w:b/>
          <w:i/>
          <w:color w:val="000000" w:themeColor="text1"/>
          <w:position w:val="-2"/>
          <w:u w:val="single"/>
        </w:rPr>
        <w:t>Para a emissão do DOF, a pessoa física ou jurídica responsável deverá estar registrada no Cadastro Técnico Federal de Atividades Potencialmente Poluidoras ou Utilizadoras de Recursos Ambientais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>, previsto no art. 17 da Lei n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  <w:vertAlign w:val="superscript"/>
        </w:rPr>
        <w:t>o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> 6.938, de 31 de agosto de 1981.</w:t>
      </w:r>
    </w:p>
    <w:p w:rsidR="00E21309" w:rsidRPr="00BA0182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inorHAnsi" w:hAnsiTheme="minorHAnsi" w:cstheme="minorHAnsi"/>
          <w:i/>
          <w:color w:val="000000" w:themeColor="text1"/>
          <w:position w:val="-2"/>
        </w:rPr>
      </w:pP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inorHAnsi" w:hAnsiTheme="minorHAnsi" w:cstheme="minorHAnsi"/>
          <w:i/>
          <w:color w:val="000000" w:themeColor="text1"/>
          <w:position w:val="-2"/>
        </w:rPr>
      </w:pP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>§ 3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  <w:u w:val="single"/>
          <w:vertAlign w:val="superscript"/>
        </w:rPr>
        <w:t>o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 xml:space="preserve">  Todo aquele que recebe ou adquire, </w:t>
      </w:r>
      <w:r w:rsidRPr="00BA0182">
        <w:rPr>
          <w:rFonts w:asciiTheme="minorHAnsi" w:hAnsiTheme="minorHAnsi" w:cstheme="minorHAnsi"/>
          <w:b/>
          <w:i/>
          <w:color w:val="000000" w:themeColor="text1"/>
          <w:position w:val="-2"/>
          <w:u w:val="single"/>
        </w:rPr>
        <w:t>para fins comerciais ou industriais</w:t>
      </w:r>
      <w:r w:rsidRPr="00BA0182">
        <w:rPr>
          <w:rFonts w:asciiTheme="minorHAnsi" w:hAnsiTheme="minorHAnsi" w:cstheme="minorHAnsi"/>
          <w:i/>
          <w:color w:val="000000" w:themeColor="text1"/>
          <w:position w:val="-2"/>
        </w:rPr>
        <w:t>, madeira, lenha, carvão e outros produtos ou subprodutos de florestas de espécies nativas é obrigado a exigir a apresentação do DOF e munir-se da via que deverá acompanhar o material até o beneficiamento final.</w:t>
      </w:r>
    </w:p>
    <w:p w:rsidR="00E21309" w:rsidRDefault="00E21309" w:rsidP="0015455B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inorHAnsi" w:hAnsiTheme="minorHAnsi" w:cstheme="minorHAnsi"/>
          <w:i/>
          <w:color w:val="000000" w:themeColor="text1"/>
          <w:position w:val="-2"/>
        </w:rPr>
      </w:pPr>
    </w:p>
    <w:p w:rsidR="00E21309" w:rsidRDefault="00E21309" w:rsidP="00642619">
      <w:pPr>
        <w:overflowPunct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position w:val="-2"/>
        </w:rPr>
      </w:pPr>
      <w:r>
        <w:rPr>
          <w:rFonts w:asciiTheme="minorHAnsi" w:hAnsiTheme="minorHAnsi" w:cstheme="minorHAnsi"/>
          <w:color w:val="000000" w:themeColor="text1"/>
          <w:position w:val="-2"/>
        </w:rPr>
        <w:t xml:space="preserve">Como se </w:t>
      </w:r>
      <w:proofErr w:type="gramStart"/>
      <w:r>
        <w:rPr>
          <w:rFonts w:asciiTheme="minorHAnsi" w:hAnsiTheme="minorHAnsi" w:cstheme="minorHAnsi"/>
          <w:color w:val="000000" w:themeColor="text1"/>
          <w:position w:val="-2"/>
        </w:rPr>
        <w:t>observa,</w:t>
      </w:r>
      <w:proofErr w:type="gramEnd"/>
      <w:r>
        <w:rPr>
          <w:rFonts w:asciiTheme="minorHAnsi" w:hAnsiTheme="minorHAnsi" w:cstheme="minorHAnsi"/>
          <w:color w:val="000000" w:themeColor="text1"/>
          <w:position w:val="-2"/>
        </w:rPr>
        <w:t xml:space="preserve"> apenas aqueles que manejam madeira de origem nativa para fins comerciais e industriais é que estão sujeitos à emissão do DOF. Assim, não se pode exigir do </w:t>
      </w:r>
      <w:r w:rsidR="00FE3AFA">
        <w:rPr>
          <w:rFonts w:asciiTheme="minorHAnsi" w:hAnsiTheme="minorHAnsi" w:cstheme="minorHAnsi"/>
          <w:color w:val="000000" w:themeColor="text1"/>
          <w:position w:val="-2"/>
        </w:rPr>
        <w:t>PARTICULAR</w:t>
      </w:r>
      <w:r>
        <w:rPr>
          <w:rFonts w:asciiTheme="minorHAnsi" w:hAnsiTheme="minorHAnsi" w:cstheme="minorHAnsi"/>
          <w:color w:val="000000" w:themeColor="text1"/>
          <w:position w:val="-2"/>
        </w:rPr>
        <w:t xml:space="preserve"> que se utiliza de madeira para realização de </w:t>
      </w:r>
      <w:r w:rsidR="00642619">
        <w:rPr>
          <w:rFonts w:asciiTheme="minorHAnsi" w:hAnsiTheme="minorHAnsi" w:cstheme="minorHAnsi"/>
          <w:color w:val="000000" w:themeColor="text1"/>
          <w:position w:val="-2"/>
        </w:rPr>
        <w:t>obra</w:t>
      </w:r>
      <w:r w:rsidR="00FE3AFA">
        <w:rPr>
          <w:rFonts w:asciiTheme="minorHAnsi" w:hAnsiTheme="minorHAnsi" w:cstheme="minorHAnsi"/>
          <w:color w:val="000000" w:themeColor="text1"/>
          <w:position w:val="-2"/>
        </w:rPr>
        <w:t xml:space="preserve"> PARA USO PRÓPRIO </w:t>
      </w:r>
      <w:r>
        <w:rPr>
          <w:rFonts w:asciiTheme="minorHAnsi" w:hAnsiTheme="minorHAnsi" w:cstheme="minorHAnsi"/>
          <w:color w:val="000000" w:themeColor="text1"/>
          <w:position w:val="-2"/>
        </w:rPr>
        <w:t xml:space="preserve">a portabilidade e apresentação do referido documento. Até porque sua emissão e aquisição </w:t>
      </w:r>
      <w:proofErr w:type="gramStart"/>
      <w:r>
        <w:rPr>
          <w:rFonts w:asciiTheme="minorHAnsi" w:hAnsiTheme="minorHAnsi" w:cstheme="minorHAnsi"/>
          <w:color w:val="000000" w:themeColor="text1"/>
          <w:position w:val="-2"/>
        </w:rPr>
        <w:t>é restrita</w:t>
      </w:r>
      <w:proofErr w:type="gramEnd"/>
      <w:r>
        <w:rPr>
          <w:rFonts w:asciiTheme="minorHAnsi" w:hAnsiTheme="minorHAnsi" w:cstheme="minorHAnsi"/>
          <w:color w:val="000000" w:themeColor="text1"/>
          <w:position w:val="-2"/>
        </w:rPr>
        <w:t>.</w:t>
      </w:r>
    </w:p>
    <w:p w:rsidR="0069106C" w:rsidRDefault="0069106C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position w:val="-2"/>
        </w:rPr>
      </w:pPr>
    </w:p>
    <w:p w:rsidR="006C3684" w:rsidRPr="002F29A7" w:rsidRDefault="006C3684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position w:val="-2"/>
        </w:rPr>
      </w:pPr>
    </w:p>
    <w:p w:rsidR="001A2ACE" w:rsidRPr="002F29A7" w:rsidRDefault="00306CD4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2F29A7">
        <w:rPr>
          <w:rFonts w:asciiTheme="minorHAnsi" w:hAnsiTheme="minorHAnsi" w:cstheme="minorHAnsi"/>
          <w:color w:val="000000" w:themeColor="text1"/>
        </w:rPr>
        <w:t xml:space="preserve">Cordeirópolis, </w:t>
      </w:r>
      <w:r w:rsidR="006C3684">
        <w:rPr>
          <w:rFonts w:asciiTheme="minorHAnsi" w:hAnsiTheme="minorHAnsi" w:cstheme="minorHAnsi"/>
          <w:color w:val="000000" w:themeColor="text1"/>
        </w:rPr>
        <w:t>26 de outubro</w:t>
      </w:r>
      <w:r w:rsidRPr="002F29A7">
        <w:rPr>
          <w:rFonts w:asciiTheme="minorHAnsi" w:hAnsiTheme="minorHAnsi" w:cstheme="minorHAnsi"/>
          <w:color w:val="000000" w:themeColor="text1"/>
        </w:rPr>
        <w:t xml:space="preserve"> de 2018</w:t>
      </w:r>
      <w:r w:rsidR="001A2ACE" w:rsidRPr="002F29A7">
        <w:rPr>
          <w:rFonts w:asciiTheme="minorHAnsi" w:hAnsiTheme="minorHAnsi" w:cstheme="minorHAnsi"/>
          <w:color w:val="000000" w:themeColor="text1"/>
        </w:rPr>
        <w:t>.</w:t>
      </w:r>
    </w:p>
    <w:p w:rsidR="00306CD4" w:rsidRPr="002F29A7" w:rsidRDefault="00306CD4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color w:val="000000" w:themeColor="text1"/>
          <w:position w:val="-2"/>
        </w:rPr>
      </w:pPr>
    </w:p>
    <w:p w:rsidR="00484A93" w:rsidRPr="002F29A7" w:rsidRDefault="00484A93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color w:val="000000" w:themeColor="text1"/>
          <w:position w:val="-2"/>
        </w:rPr>
      </w:pPr>
    </w:p>
    <w:p w:rsidR="0069230F" w:rsidRPr="002F29A7" w:rsidRDefault="004103C1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</w:rPr>
      </w:pPr>
      <w:r w:rsidRPr="002F29A7">
        <w:rPr>
          <w:rFonts w:asciiTheme="minorHAnsi" w:hAnsiTheme="minorHAnsi" w:cstheme="minorHAnsi"/>
          <w:b/>
          <w:color w:val="000000" w:themeColor="text1"/>
        </w:rPr>
        <w:t>JOSÉ ANTONIO RODRIGUES</w:t>
      </w:r>
    </w:p>
    <w:p w:rsidR="004103C1" w:rsidRPr="002F29A7" w:rsidRDefault="004103C1" w:rsidP="0015455B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  <w:r w:rsidRPr="002F29A7">
        <w:rPr>
          <w:rFonts w:asciiTheme="majorHAnsi" w:hAnsiTheme="majorHAnsi"/>
          <w:color w:val="000000" w:themeColor="text1"/>
        </w:rPr>
        <w:t>Vereador - MDB</w:t>
      </w:r>
    </w:p>
    <w:sectPr w:rsidR="004103C1" w:rsidRPr="002F29A7" w:rsidSect="00920978">
      <w:footerReference w:type="default" r:id="rId9"/>
      <w:pgSz w:w="12240" w:h="15840"/>
      <w:pgMar w:top="1985" w:right="1701" w:bottom="1276" w:left="1701" w:header="708" w:footer="708" w:gutter="0"/>
      <w:cols w:space="708"/>
      <w:docGrid w:linePitch="360"/>
      <w:headerReference w:type="default" r:id="R34f1d8948c6e4864"/>
      <w:headerReference w:type="even" r:id="R9d7dd6fe67954e71"/>
      <w:headerReference w:type="first" r:id="R5af605ca676b413c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55" w:rsidRDefault="00974955" w:rsidP="00306CD4">
      <w:r>
        <w:separator/>
      </w:r>
    </w:p>
  </w:endnote>
  <w:endnote w:type="continuationSeparator" w:id="0">
    <w:p w:rsidR="00974955" w:rsidRDefault="00974955" w:rsidP="003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279244"/>
      <w:docPartObj>
        <w:docPartGallery w:val="Page Numbers (Bottom of Page)"/>
        <w:docPartUnique/>
      </w:docPartObj>
    </w:sdtPr>
    <w:sdtEndPr/>
    <w:sdtContent>
      <w:p w:rsidR="00306CD4" w:rsidRDefault="00306C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619">
          <w:rPr>
            <w:noProof/>
          </w:rPr>
          <w:t>1</w:t>
        </w:r>
        <w:r>
          <w:fldChar w:fldCharType="end"/>
        </w:r>
      </w:p>
    </w:sdtContent>
  </w:sdt>
  <w:p w:rsidR="00306CD4" w:rsidRDefault="00306C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55" w:rsidRDefault="00974955" w:rsidP="00306CD4">
      <w:r>
        <w:separator/>
      </w:r>
    </w:p>
  </w:footnote>
  <w:footnote w:type="continuationSeparator" w:id="0">
    <w:p w:rsidR="00974955" w:rsidRDefault="00974955" w:rsidP="00306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5e507b4a5d4fae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D0C"/>
    <w:multiLevelType w:val="hybridMultilevel"/>
    <w:tmpl w:val="75000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87A"/>
    <w:multiLevelType w:val="hybridMultilevel"/>
    <w:tmpl w:val="587C1E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43D"/>
    <w:multiLevelType w:val="hybridMultilevel"/>
    <w:tmpl w:val="E3E08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452"/>
    <w:multiLevelType w:val="hybridMultilevel"/>
    <w:tmpl w:val="B94AB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53A6A"/>
    <w:multiLevelType w:val="hybridMultilevel"/>
    <w:tmpl w:val="6D0E0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E02"/>
    <w:multiLevelType w:val="hybridMultilevel"/>
    <w:tmpl w:val="EF728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D2"/>
    <w:rsid w:val="00002AF5"/>
    <w:rsid w:val="00041E43"/>
    <w:rsid w:val="000602E5"/>
    <w:rsid w:val="00072B46"/>
    <w:rsid w:val="0009065F"/>
    <w:rsid w:val="000D4201"/>
    <w:rsid w:val="0014795F"/>
    <w:rsid w:val="0015455B"/>
    <w:rsid w:val="001A2ACE"/>
    <w:rsid w:val="001F2403"/>
    <w:rsid w:val="00254F56"/>
    <w:rsid w:val="002640F6"/>
    <w:rsid w:val="002F29A7"/>
    <w:rsid w:val="002F3C2D"/>
    <w:rsid w:val="00306CD4"/>
    <w:rsid w:val="004103C1"/>
    <w:rsid w:val="00446712"/>
    <w:rsid w:val="004611C1"/>
    <w:rsid w:val="00484A93"/>
    <w:rsid w:val="004A5BF9"/>
    <w:rsid w:val="004F46FF"/>
    <w:rsid w:val="00500F29"/>
    <w:rsid w:val="005041B8"/>
    <w:rsid w:val="00527DB2"/>
    <w:rsid w:val="005B1BAB"/>
    <w:rsid w:val="005D15E9"/>
    <w:rsid w:val="005F6B08"/>
    <w:rsid w:val="00602D44"/>
    <w:rsid w:val="00623136"/>
    <w:rsid w:val="0064061F"/>
    <w:rsid w:val="00642619"/>
    <w:rsid w:val="0069106C"/>
    <w:rsid w:val="0069230F"/>
    <w:rsid w:val="006C3684"/>
    <w:rsid w:val="006D6231"/>
    <w:rsid w:val="006E04E0"/>
    <w:rsid w:val="00767BA0"/>
    <w:rsid w:val="007850D2"/>
    <w:rsid w:val="00816EEA"/>
    <w:rsid w:val="00864FB5"/>
    <w:rsid w:val="008919EC"/>
    <w:rsid w:val="008A04EE"/>
    <w:rsid w:val="008E7D45"/>
    <w:rsid w:val="00920978"/>
    <w:rsid w:val="00953E1B"/>
    <w:rsid w:val="00974955"/>
    <w:rsid w:val="0099564D"/>
    <w:rsid w:val="00A3091C"/>
    <w:rsid w:val="00AB0102"/>
    <w:rsid w:val="00AE4831"/>
    <w:rsid w:val="00B772BD"/>
    <w:rsid w:val="00B90E24"/>
    <w:rsid w:val="00BE01FA"/>
    <w:rsid w:val="00C50075"/>
    <w:rsid w:val="00CD396B"/>
    <w:rsid w:val="00CE0460"/>
    <w:rsid w:val="00CE5A18"/>
    <w:rsid w:val="00CF703A"/>
    <w:rsid w:val="00D55B46"/>
    <w:rsid w:val="00D85CB9"/>
    <w:rsid w:val="00D91285"/>
    <w:rsid w:val="00DD668C"/>
    <w:rsid w:val="00DF03E9"/>
    <w:rsid w:val="00E21309"/>
    <w:rsid w:val="00EC17D9"/>
    <w:rsid w:val="00EE2419"/>
    <w:rsid w:val="00FA566B"/>
    <w:rsid w:val="00FA69EA"/>
    <w:rsid w:val="00FE17E7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header" Target="/word/header1.xml" Id="R34f1d8948c6e4864" /><Relationship Type="http://schemas.openxmlformats.org/officeDocument/2006/relationships/header" Target="/word/header2.xml" Id="R9d7dd6fe67954e71" /><Relationship Type="http://schemas.openxmlformats.org/officeDocument/2006/relationships/header" Target="/word/header3.xml" Id="R5af605ca676b413c" /><Relationship Type="http://schemas.openxmlformats.org/officeDocument/2006/relationships/image" Target="/word/media/c503fc16-9894-490f-a23a-5d65b392155e.png" Id="R2db84ea330fd47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03fc16-9894-490f-a23a-5d65b392155e.png" Id="Ra75e507b4a5d4f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012A-81C7-42CC-A662-25C309D7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24</cp:revision>
  <cp:lastPrinted>2018-10-29T17:56:00Z</cp:lastPrinted>
  <dcterms:created xsi:type="dcterms:W3CDTF">2018-07-26T19:02:00Z</dcterms:created>
  <dcterms:modified xsi:type="dcterms:W3CDTF">2018-10-29T17:56:00Z</dcterms:modified>
</cp:coreProperties>
</file>