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CD" w:rsidRDefault="00276ECD" w:rsidP="00276ECD">
      <w:pPr>
        <w:spacing w:after="0" w:line="360" w:lineRule="auto"/>
        <w:ind w:left="708"/>
        <w:jc w:val="both"/>
        <w:rPr>
          <w:rFonts w:asciiTheme="majorHAnsi" w:eastAsia="Times New Roman" w:hAnsiTheme="majorHAnsi" w:cs="Arial"/>
          <w:b/>
          <w:bCs/>
          <w:color w:val="000000"/>
          <w:sz w:val="25"/>
          <w:szCs w:val="25"/>
          <w:u w:val="single"/>
          <w:lang w:eastAsia="pt-BR"/>
        </w:rPr>
      </w:pPr>
    </w:p>
    <w:p w:rsidR="00276ECD" w:rsidRDefault="00276ECD" w:rsidP="00276ECD">
      <w:pPr>
        <w:spacing w:after="0" w:line="360" w:lineRule="auto"/>
        <w:ind w:left="708"/>
        <w:jc w:val="both"/>
        <w:rPr>
          <w:rFonts w:asciiTheme="majorHAnsi" w:eastAsia="Times New Roman" w:hAnsiTheme="majorHAnsi" w:cs="Arial"/>
          <w:b/>
          <w:bCs/>
          <w:color w:val="000000"/>
          <w:sz w:val="25"/>
          <w:szCs w:val="25"/>
          <w:u w:val="single"/>
          <w:lang w:eastAsia="pt-BR"/>
        </w:rPr>
      </w:pPr>
    </w:p>
    <w:p w:rsidR="00276ECD" w:rsidRDefault="00276ECD" w:rsidP="00276ECD">
      <w:pPr>
        <w:spacing w:after="0" w:line="360" w:lineRule="auto"/>
        <w:ind w:left="708"/>
        <w:jc w:val="both"/>
        <w:rPr>
          <w:rFonts w:asciiTheme="majorHAnsi" w:eastAsia="Times New Roman" w:hAnsiTheme="majorHAnsi" w:cs="Arial"/>
          <w:b/>
          <w:bCs/>
          <w:color w:val="000000"/>
          <w:sz w:val="25"/>
          <w:szCs w:val="25"/>
          <w:u w:val="single"/>
          <w:lang w:eastAsia="pt-BR"/>
        </w:rPr>
      </w:pPr>
    </w:p>
    <w:p w:rsidR="00AE1DB9" w:rsidRDefault="00AE1DB9" w:rsidP="00AE1DB9">
      <w:pPr>
        <w:spacing w:after="0" w:line="360" w:lineRule="auto"/>
        <w:ind w:left="708"/>
        <w:jc w:val="both"/>
        <w:rPr>
          <w:rFonts w:asciiTheme="majorHAnsi" w:eastAsia="Times New Roman" w:hAnsiTheme="majorHAnsi" w:cs="Times New Roman"/>
          <w:sz w:val="25"/>
          <w:szCs w:val="25"/>
          <w:lang w:eastAsia="pt-BR"/>
        </w:rPr>
      </w:pPr>
      <w:r>
        <w:rPr>
          <w:rFonts w:asciiTheme="majorHAnsi" w:eastAsia="Times New Roman" w:hAnsiTheme="majorHAnsi" w:cs="Arial"/>
          <w:b/>
          <w:bCs/>
          <w:color w:val="000000"/>
          <w:sz w:val="25"/>
          <w:szCs w:val="25"/>
          <w:u w:val="single"/>
          <w:lang w:eastAsia="pt-BR"/>
        </w:rPr>
        <w:t>Emenda 01 ao Projeto de Lei nº. 11 de  2017</w:t>
      </w:r>
    </w:p>
    <w:p w:rsidR="00AE1DB9" w:rsidRDefault="00AE1DB9" w:rsidP="00AE1DB9">
      <w:pPr>
        <w:spacing w:after="240" w:line="360" w:lineRule="auto"/>
        <w:rPr>
          <w:rFonts w:asciiTheme="majorHAnsi" w:eastAsia="Times New Roman" w:hAnsiTheme="majorHAnsi" w:cs="Times New Roman"/>
          <w:sz w:val="25"/>
          <w:szCs w:val="25"/>
          <w:lang w:eastAsia="pt-BR"/>
        </w:rPr>
      </w:pPr>
    </w:p>
    <w:p w:rsidR="00AE1DB9" w:rsidRDefault="00AE1DB9" w:rsidP="00AE1DB9">
      <w:pPr>
        <w:spacing w:after="0"/>
        <w:ind w:left="4536"/>
        <w:jc w:val="both"/>
        <w:rPr>
          <w:rFonts w:asciiTheme="majorHAnsi" w:eastAsia="Times New Roman" w:hAnsiTheme="majorHAnsi" w:cs="Arial"/>
          <w:b/>
          <w:bCs/>
          <w:color w:val="000000"/>
          <w:sz w:val="25"/>
          <w:szCs w:val="25"/>
          <w:lang w:eastAsia="pt-BR"/>
        </w:rPr>
      </w:pPr>
      <w:r>
        <w:rPr>
          <w:rFonts w:asciiTheme="majorHAnsi" w:eastAsia="Times New Roman" w:hAnsiTheme="majorHAnsi" w:cs="Arial"/>
          <w:b/>
          <w:bCs/>
          <w:color w:val="000000"/>
          <w:sz w:val="25"/>
          <w:szCs w:val="25"/>
          <w:lang w:eastAsia="pt-BR"/>
        </w:rPr>
        <w:t xml:space="preserve">Altera a redação do parágrafo único do art. </w:t>
      </w:r>
      <w:r w:rsidRPr="003A3F8D">
        <w:rPr>
          <w:rFonts w:asciiTheme="majorHAnsi" w:hAnsiTheme="majorHAnsi"/>
          <w:b/>
          <w:sz w:val="25"/>
          <w:szCs w:val="25"/>
        </w:rPr>
        <w:t>5º</w:t>
      </w:r>
      <w:r>
        <w:rPr>
          <w:rFonts w:asciiTheme="majorHAnsi" w:eastAsia="Times New Roman" w:hAnsiTheme="majorHAnsi" w:cs="Arial"/>
          <w:b/>
          <w:bCs/>
          <w:color w:val="000000"/>
          <w:sz w:val="25"/>
          <w:szCs w:val="25"/>
          <w:lang w:eastAsia="pt-BR"/>
        </w:rPr>
        <w:t xml:space="preserve"> </w:t>
      </w:r>
    </w:p>
    <w:p w:rsidR="00AE1DB9" w:rsidRDefault="00AE1DB9" w:rsidP="00AE1DB9">
      <w:pPr>
        <w:spacing w:after="0"/>
        <w:ind w:left="4536"/>
        <w:jc w:val="both"/>
        <w:rPr>
          <w:rFonts w:asciiTheme="majorHAnsi" w:eastAsia="Times New Roman" w:hAnsiTheme="majorHAnsi" w:cs="Times New Roman"/>
          <w:sz w:val="25"/>
          <w:szCs w:val="25"/>
          <w:lang w:eastAsia="pt-BR"/>
        </w:rPr>
      </w:pPr>
    </w:p>
    <w:p w:rsidR="00AE1DB9" w:rsidRDefault="00AE1DB9" w:rsidP="00AE1DB9">
      <w:pPr>
        <w:pStyle w:val="NormalWeb"/>
        <w:shd w:val="clear" w:color="auto" w:fill="FFFFFF"/>
        <w:ind w:firstLine="708"/>
        <w:rPr>
          <w:rFonts w:asciiTheme="majorHAnsi" w:hAnsiTheme="majorHAnsi"/>
          <w:sz w:val="25"/>
          <w:szCs w:val="25"/>
        </w:rPr>
      </w:pPr>
      <w:r>
        <w:rPr>
          <w:rFonts w:asciiTheme="majorHAnsi" w:hAnsiTheme="majorHAnsi"/>
          <w:sz w:val="25"/>
          <w:szCs w:val="25"/>
        </w:rPr>
        <w:t>Fica alterada a redação do parágrafo único do art.5º nos seguintes termos:</w:t>
      </w:r>
    </w:p>
    <w:p w:rsidR="00AE1DB9" w:rsidRDefault="00AE1DB9" w:rsidP="00AE1DB9">
      <w:pPr>
        <w:pStyle w:val="NormalWeb"/>
        <w:shd w:val="clear" w:color="auto" w:fill="FFFFFF"/>
        <w:ind w:firstLine="708"/>
        <w:rPr>
          <w:rFonts w:asciiTheme="majorHAnsi" w:hAnsiTheme="majorHAnsi"/>
          <w:sz w:val="25"/>
          <w:szCs w:val="25"/>
        </w:rPr>
      </w:pPr>
      <w:r>
        <w:rPr>
          <w:rFonts w:asciiTheme="majorHAnsi" w:hAnsiTheme="majorHAnsi"/>
          <w:sz w:val="25"/>
          <w:szCs w:val="25"/>
        </w:rPr>
        <w:t>Art. 5º.  ....</w:t>
      </w:r>
    </w:p>
    <w:p w:rsidR="00AE1DB9" w:rsidRDefault="00AE1DB9" w:rsidP="00AE1DB9">
      <w:pPr>
        <w:pStyle w:val="NormalWeb"/>
        <w:shd w:val="clear" w:color="auto" w:fill="FFFFFF"/>
        <w:spacing w:line="276" w:lineRule="auto"/>
        <w:ind w:firstLine="708"/>
        <w:jc w:val="both"/>
        <w:rPr>
          <w:rFonts w:asciiTheme="majorHAnsi" w:hAnsiTheme="majorHAnsi"/>
          <w:sz w:val="25"/>
          <w:szCs w:val="25"/>
        </w:rPr>
      </w:pPr>
      <w:r>
        <w:rPr>
          <w:rFonts w:asciiTheme="majorHAnsi" w:hAnsiTheme="majorHAnsi"/>
          <w:sz w:val="25"/>
          <w:szCs w:val="25"/>
        </w:rPr>
        <w:t>Parágrafo Único. A forma e periodicidade de reavaliação será trimestral, devendo constar relação de todos os beneficiários no site da Prefeitura do Município de Cordeirópolis, nos termos do realizado no Bolsa Alimentação, bem como os dados de todos os integrantes do respectivo grupo familiar.</w:t>
      </w:r>
    </w:p>
    <w:p w:rsidR="00AE1DB9" w:rsidRDefault="00AE1DB9" w:rsidP="00AE1DB9">
      <w:pPr>
        <w:spacing w:after="0" w:line="360" w:lineRule="auto"/>
        <w:ind w:left="708"/>
        <w:jc w:val="center"/>
        <w:rPr>
          <w:rFonts w:asciiTheme="majorHAnsi" w:eastAsia="Times New Roman" w:hAnsiTheme="majorHAnsi" w:cs="Arial"/>
          <w:b/>
          <w:bCs/>
          <w:color w:val="000000"/>
          <w:sz w:val="25"/>
          <w:szCs w:val="25"/>
          <w:u w:val="single"/>
          <w:lang w:eastAsia="pt-BR"/>
        </w:rPr>
      </w:pPr>
      <w:r>
        <w:rPr>
          <w:rFonts w:asciiTheme="majorHAnsi" w:eastAsia="Times New Roman" w:hAnsiTheme="majorHAnsi" w:cs="Arial"/>
          <w:b/>
          <w:bCs/>
          <w:color w:val="000000"/>
          <w:sz w:val="25"/>
          <w:szCs w:val="25"/>
          <w:u w:val="single"/>
          <w:lang w:eastAsia="pt-BR"/>
        </w:rPr>
        <w:t>Justificativa</w:t>
      </w:r>
    </w:p>
    <w:p w:rsidR="00AE1DB9" w:rsidRDefault="00AE1DB9" w:rsidP="00AE1DB9">
      <w:pPr>
        <w:pStyle w:val="NormalWeb"/>
        <w:shd w:val="clear" w:color="auto" w:fill="FFFFFF"/>
        <w:spacing w:line="276" w:lineRule="auto"/>
        <w:ind w:firstLine="708"/>
        <w:jc w:val="both"/>
        <w:rPr>
          <w:rFonts w:asciiTheme="majorHAnsi" w:hAnsiTheme="majorHAnsi"/>
          <w:sz w:val="25"/>
          <w:szCs w:val="25"/>
        </w:rPr>
      </w:pPr>
      <w:r>
        <w:rPr>
          <w:rFonts w:asciiTheme="majorHAnsi" w:hAnsiTheme="majorHAnsi"/>
          <w:sz w:val="25"/>
          <w:szCs w:val="25"/>
        </w:rPr>
        <w:t>Visando o respeito ao principio da publicidade apresentamos a seguinte emenda.</w:t>
      </w:r>
    </w:p>
    <w:p w:rsidR="00AE1DB9" w:rsidRDefault="00AE1DB9" w:rsidP="00AE1DB9">
      <w:pPr>
        <w:pStyle w:val="NormalWeb"/>
        <w:shd w:val="clear" w:color="auto" w:fill="FFFFFF"/>
        <w:spacing w:line="276" w:lineRule="auto"/>
        <w:ind w:firstLine="708"/>
        <w:jc w:val="both"/>
        <w:rPr>
          <w:rFonts w:asciiTheme="majorHAnsi" w:hAnsiTheme="majorHAnsi"/>
          <w:sz w:val="25"/>
          <w:szCs w:val="25"/>
        </w:rPr>
      </w:pPr>
      <w:r>
        <w:rPr>
          <w:rFonts w:asciiTheme="majorHAnsi" w:hAnsiTheme="majorHAnsi"/>
          <w:sz w:val="25"/>
          <w:szCs w:val="25"/>
        </w:rPr>
        <w:t>Referido Programa dará uma nova opção de atendimento da população, contudo para garantia dos princípios administrativos deverá ser publicada lista mensal de todos os beneficiários, como é feito no Programa do Governo Federal denominado Bolsa alimentação.</w:t>
      </w:r>
    </w:p>
    <w:p w:rsidR="00AE1DB9" w:rsidRDefault="00AE1DB9" w:rsidP="00AE1DB9">
      <w:pPr>
        <w:pStyle w:val="NormalWeb"/>
        <w:shd w:val="clear" w:color="auto" w:fill="FFFFFF"/>
        <w:spacing w:line="276" w:lineRule="auto"/>
        <w:ind w:firstLine="708"/>
        <w:jc w:val="both"/>
        <w:rPr>
          <w:rFonts w:asciiTheme="majorHAnsi" w:hAnsiTheme="majorHAnsi"/>
          <w:sz w:val="25"/>
          <w:szCs w:val="25"/>
        </w:rPr>
      </w:pPr>
      <w:r>
        <w:rPr>
          <w:rFonts w:asciiTheme="majorHAnsi" w:hAnsiTheme="majorHAnsi"/>
          <w:sz w:val="25"/>
          <w:szCs w:val="25"/>
        </w:rPr>
        <w:t>Certos que os beneficiários cumprirão as metas do programa e somente para que o cartão seja utilizado para aquisição de alimentos, necessária adoção de medidas que garantam tal comportamento, evitando o desvio de finalidade.</w:t>
      </w:r>
    </w:p>
    <w:p w:rsidR="00AE1DB9" w:rsidRDefault="00AE1DB9" w:rsidP="00AE1DB9">
      <w:pPr>
        <w:spacing w:after="0" w:line="360" w:lineRule="auto"/>
        <w:ind w:firstLine="709"/>
        <w:jc w:val="both"/>
        <w:rPr>
          <w:rFonts w:asciiTheme="majorHAnsi" w:eastAsia="Times New Roman" w:hAnsiTheme="majorHAnsi" w:cs="Times New Roman"/>
          <w:sz w:val="25"/>
          <w:szCs w:val="25"/>
          <w:lang w:eastAsia="pt-BR"/>
        </w:rPr>
      </w:pPr>
    </w:p>
    <w:p w:rsidR="00AE1DB9" w:rsidRDefault="00AE1DB9" w:rsidP="00AE1DB9">
      <w:pPr>
        <w:spacing w:line="360" w:lineRule="auto"/>
        <w:ind w:left="708"/>
        <w:jc w:val="right"/>
        <w:rPr>
          <w:rFonts w:asciiTheme="majorHAnsi" w:eastAsia="Times New Roman" w:hAnsiTheme="majorHAnsi" w:cs="Times New Roman"/>
          <w:sz w:val="25"/>
          <w:szCs w:val="25"/>
          <w:lang w:eastAsia="pt-BR"/>
        </w:rPr>
      </w:pPr>
      <w:r>
        <w:rPr>
          <w:rFonts w:asciiTheme="majorHAnsi" w:eastAsia="Times New Roman" w:hAnsiTheme="majorHAnsi" w:cs="Arial"/>
          <w:color w:val="000000"/>
          <w:sz w:val="25"/>
          <w:szCs w:val="25"/>
          <w:lang w:eastAsia="pt-BR"/>
        </w:rPr>
        <w:t>Câmara Municipal de Cordeirópolis, 28 de março de 2017.</w:t>
      </w:r>
    </w:p>
    <w:p w:rsidR="00AE1DB9" w:rsidRDefault="00AE1DB9" w:rsidP="00AE1DB9">
      <w:pPr>
        <w:spacing w:after="0" w:line="360" w:lineRule="auto"/>
        <w:ind w:left="708"/>
        <w:jc w:val="center"/>
        <w:rPr>
          <w:rFonts w:asciiTheme="majorHAnsi" w:eastAsia="Times New Roman" w:hAnsiTheme="majorHAnsi" w:cs="Arial"/>
          <w:b/>
          <w:bCs/>
          <w:color w:val="000000"/>
          <w:sz w:val="25"/>
          <w:szCs w:val="25"/>
          <w:lang w:eastAsia="pt-BR"/>
        </w:rPr>
      </w:pPr>
    </w:p>
    <w:p w:rsidR="00AE1DB9" w:rsidRDefault="00AE1DB9" w:rsidP="00AE1DB9">
      <w:pPr>
        <w:spacing w:after="0" w:line="360" w:lineRule="auto"/>
        <w:ind w:left="708"/>
        <w:jc w:val="center"/>
        <w:rPr>
          <w:rFonts w:asciiTheme="majorHAnsi" w:eastAsia="Times New Roman" w:hAnsiTheme="majorHAnsi" w:cs="Times New Roman"/>
          <w:sz w:val="25"/>
          <w:szCs w:val="25"/>
          <w:lang w:eastAsia="pt-BR"/>
        </w:rPr>
      </w:pPr>
      <w:r>
        <w:rPr>
          <w:rFonts w:asciiTheme="majorHAnsi" w:eastAsia="Times New Roman" w:hAnsiTheme="majorHAnsi" w:cs="Arial"/>
          <w:b/>
          <w:bCs/>
          <w:color w:val="000000"/>
          <w:sz w:val="25"/>
          <w:szCs w:val="25"/>
          <w:lang w:eastAsia="pt-BR"/>
        </w:rPr>
        <w:t>Mariana Fleury Tamiazo</w:t>
      </w:r>
    </w:p>
    <w:p w:rsidR="00DB5C91" w:rsidRDefault="00AE1DB9" w:rsidP="00AE1DB9">
      <w:pPr>
        <w:spacing w:after="0" w:line="360" w:lineRule="auto"/>
        <w:ind w:left="708"/>
        <w:jc w:val="center"/>
      </w:pPr>
      <w:r>
        <w:rPr>
          <w:rFonts w:asciiTheme="majorHAnsi" w:eastAsia="Times New Roman" w:hAnsiTheme="majorHAnsi" w:cs="Arial"/>
          <w:b/>
          <w:bCs/>
          <w:color w:val="000000"/>
          <w:sz w:val="25"/>
          <w:szCs w:val="25"/>
          <w:lang w:eastAsia="pt-BR"/>
        </w:rPr>
        <w:t>Vereadora SD</w:t>
      </w:r>
    </w:p>
    <w:sectPr w:rsidR="00DB5C91" w:rsidSect="00DB5C91">
      <w:headerReference w:type="even" r:id="rId6"/>
      <w:headerReference w:type="default" r:id="rId7"/>
      <w:headerReference w:type="firs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116" w:rsidRDefault="00FC4116" w:rsidP="00E26D65">
      <w:pPr>
        <w:spacing w:after="0" w:line="240" w:lineRule="auto"/>
      </w:pPr>
      <w:r>
        <w:separator/>
      </w:r>
    </w:p>
  </w:endnote>
  <w:endnote w:type="continuationSeparator" w:id="1">
    <w:p w:rsidR="00FC4116" w:rsidRDefault="00FC4116" w:rsidP="00E26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116" w:rsidRDefault="00FC4116" w:rsidP="00E26D65">
      <w:pPr>
        <w:spacing w:after="0" w:line="240" w:lineRule="auto"/>
      </w:pPr>
      <w:r>
        <w:separator/>
      </w:r>
    </w:p>
  </w:footnote>
  <w:footnote w:type="continuationSeparator" w:id="1">
    <w:p w:rsidR="00FC4116" w:rsidRDefault="00FC4116" w:rsidP="00E26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41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4116"/>
  <w:p w:rsidR="00E26D65" w:rsidRDefault="00FC4116">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277174"/>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427717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FC41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76ECD"/>
    <w:rsid w:val="00276ECD"/>
    <w:rsid w:val="00AE1DB9"/>
    <w:rsid w:val="00DB5C91"/>
    <w:rsid w:val="00E26D65"/>
    <w:rsid w:val="00FC41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6EC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6748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969</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anapaula</cp:lastModifiedBy>
  <cp:revision>2</cp:revision>
  <dcterms:created xsi:type="dcterms:W3CDTF">2017-03-29T15:07:00Z</dcterms:created>
  <dcterms:modified xsi:type="dcterms:W3CDTF">2017-03-30T15:20:00Z</dcterms:modified>
</cp:coreProperties>
</file>