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D7B" w:rsidRPr="001460F7" w:rsidRDefault="001460F7">
      <w:pPr>
        <w:pStyle w:val="Ttulo5"/>
        <w:tabs>
          <w:tab w:val="left" w:pos="0"/>
        </w:tabs>
        <w:rPr>
          <w:rFonts w:asciiTheme="majorHAnsi" w:hAnsiTheme="majorHAnsi"/>
          <w:bCs/>
          <w:sz w:val="26"/>
          <w:szCs w:val="26"/>
        </w:rPr>
      </w:pPr>
      <w:r w:rsidRPr="001460F7">
        <w:rPr>
          <w:rFonts w:asciiTheme="majorHAnsi" w:hAnsiTheme="majorHAnsi"/>
          <w:bCs/>
          <w:sz w:val="26"/>
          <w:szCs w:val="26"/>
        </w:rPr>
        <w:t>Autógrafo nº 3285</w:t>
      </w:r>
    </w:p>
    <w:p w:rsidR="00BF7D7B" w:rsidRPr="001460F7" w:rsidRDefault="00BF7D7B">
      <w:pPr>
        <w:jc w:val="center"/>
        <w:rPr>
          <w:rFonts w:asciiTheme="majorHAnsi" w:hAnsiTheme="majorHAnsi"/>
          <w:sz w:val="26"/>
          <w:szCs w:val="26"/>
        </w:rPr>
      </w:pPr>
    </w:p>
    <w:p w:rsidR="00BF7D7B" w:rsidRPr="001460F7" w:rsidRDefault="009767F2">
      <w:pPr>
        <w:pStyle w:val="Ttulo1"/>
        <w:tabs>
          <w:tab w:val="left" w:pos="4000"/>
        </w:tabs>
        <w:ind w:left="4000"/>
        <w:rPr>
          <w:rFonts w:asciiTheme="majorHAnsi" w:hAnsiTheme="majorHAnsi"/>
          <w:bCs/>
          <w:sz w:val="26"/>
          <w:szCs w:val="26"/>
        </w:rPr>
      </w:pPr>
      <w:r w:rsidRPr="001460F7">
        <w:rPr>
          <w:rFonts w:asciiTheme="majorHAnsi" w:hAnsiTheme="majorHAnsi"/>
          <w:sz w:val="26"/>
          <w:szCs w:val="26"/>
        </w:rPr>
        <w:t>Dispõe sobre a concessão de subvenção para o exercício de 2017, c</w:t>
      </w:r>
      <w:r w:rsidRPr="001460F7">
        <w:rPr>
          <w:rFonts w:asciiTheme="majorHAnsi" w:hAnsiTheme="majorHAnsi"/>
          <w:bCs/>
          <w:sz w:val="26"/>
          <w:szCs w:val="26"/>
        </w:rPr>
        <w:t xml:space="preserve">onforme especifica e </w:t>
      </w:r>
      <w:r w:rsidRPr="001460F7">
        <w:rPr>
          <w:rFonts w:asciiTheme="majorHAnsi" w:hAnsiTheme="majorHAnsi"/>
          <w:sz w:val="26"/>
          <w:szCs w:val="26"/>
        </w:rPr>
        <w:t xml:space="preserve">dá </w:t>
      </w:r>
      <w:r w:rsidRPr="001460F7">
        <w:rPr>
          <w:rFonts w:asciiTheme="majorHAnsi" w:hAnsiTheme="majorHAnsi"/>
          <w:bCs/>
          <w:sz w:val="26"/>
          <w:szCs w:val="26"/>
        </w:rPr>
        <w:t>providências correlatas.</w:t>
      </w:r>
    </w:p>
    <w:p w:rsidR="00BF7D7B" w:rsidRPr="001460F7" w:rsidRDefault="00BF7D7B">
      <w:pPr>
        <w:shd w:val="clear" w:color="auto" w:fill="FFFFFF"/>
        <w:tabs>
          <w:tab w:val="left" w:pos="0"/>
        </w:tabs>
        <w:autoSpaceDE w:val="0"/>
        <w:spacing w:line="100" w:lineRule="atLeast"/>
        <w:ind w:right="-1"/>
        <w:jc w:val="both"/>
        <w:rPr>
          <w:rFonts w:asciiTheme="majorHAnsi" w:hAnsiTheme="majorHAnsi" w:cs="Arial"/>
          <w:sz w:val="26"/>
          <w:szCs w:val="26"/>
        </w:rPr>
      </w:pPr>
    </w:p>
    <w:p w:rsidR="00BF7D7B" w:rsidRPr="001460F7" w:rsidRDefault="001460F7">
      <w:pPr>
        <w:shd w:val="clear" w:color="auto" w:fill="FFFFFF"/>
        <w:tabs>
          <w:tab w:val="left" w:pos="0"/>
        </w:tabs>
        <w:autoSpaceDE w:val="0"/>
        <w:spacing w:line="100" w:lineRule="atLeast"/>
        <w:ind w:right="-1"/>
        <w:jc w:val="both"/>
        <w:rPr>
          <w:rFonts w:asciiTheme="majorHAnsi" w:hAnsiTheme="majorHAnsi" w:cs="Arial"/>
          <w:sz w:val="26"/>
          <w:szCs w:val="26"/>
          <w:lang w:val="pt-PT"/>
        </w:rPr>
      </w:pPr>
      <w:r w:rsidRPr="001460F7">
        <w:rPr>
          <w:rFonts w:asciiTheme="majorHAnsi" w:hAnsiTheme="majorHAnsi" w:cs="Arial"/>
          <w:sz w:val="26"/>
          <w:szCs w:val="26"/>
          <w:lang w:val="pt-PT"/>
        </w:rPr>
        <w:t xml:space="preserve">A Câmara Municipal de Cordeirópolis decreta: </w:t>
      </w:r>
    </w:p>
    <w:p w:rsidR="00BF7D7B" w:rsidRPr="001460F7" w:rsidRDefault="00BF7D7B">
      <w:pPr>
        <w:jc w:val="both"/>
        <w:rPr>
          <w:rFonts w:asciiTheme="majorHAnsi" w:hAnsiTheme="majorHAnsi"/>
          <w:sz w:val="26"/>
          <w:szCs w:val="26"/>
        </w:rPr>
      </w:pPr>
    </w:p>
    <w:p w:rsidR="00BF7D7B" w:rsidRPr="001460F7" w:rsidRDefault="009767F2">
      <w:pPr>
        <w:jc w:val="both"/>
        <w:rPr>
          <w:rFonts w:asciiTheme="majorHAnsi" w:hAnsiTheme="majorHAnsi"/>
          <w:sz w:val="26"/>
          <w:szCs w:val="26"/>
        </w:rPr>
      </w:pPr>
      <w:r w:rsidRPr="001460F7">
        <w:rPr>
          <w:rFonts w:asciiTheme="majorHAnsi" w:hAnsiTheme="majorHAnsi"/>
          <w:b/>
          <w:sz w:val="26"/>
          <w:szCs w:val="26"/>
          <w:u w:val="single"/>
        </w:rPr>
        <w:t>Art. 1º</w:t>
      </w:r>
      <w:r w:rsidRPr="001460F7">
        <w:rPr>
          <w:rFonts w:asciiTheme="majorHAnsi" w:hAnsiTheme="majorHAnsi"/>
          <w:sz w:val="26"/>
          <w:szCs w:val="26"/>
        </w:rPr>
        <w:t xml:space="preserve"> - Fica o </w:t>
      </w:r>
      <w:r w:rsidRPr="001460F7">
        <w:rPr>
          <w:rFonts w:asciiTheme="majorHAnsi" w:hAnsiTheme="majorHAnsi"/>
          <w:b/>
          <w:bCs/>
          <w:sz w:val="26"/>
          <w:szCs w:val="26"/>
        </w:rPr>
        <w:t>Poder</w:t>
      </w:r>
      <w:r w:rsidRPr="001460F7">
        <w:rPr>
          <w:rFonts w:asciiTheme="majorHAnsi" w:hAnsiTheme="majorHAnsi"/>
          <w:sz w:val="26"/>
          <w:szCs w:val="26"/>
        </w:rPr>
        <w:t xml:space="preserve"> </w:t>
      </w:r>
      <w:r w:rsidRPr="001460F7">
        <w:rPr>
          <w:rFonts w:asciiTheme="majorHAnsi" w:hAnsiTheme="majorHAnsi"/>
          <w:b/>
          <w:bCs/>
          <w:sz w:val="26"/>
          <w:szCs w:val="26"/>
        </w:rPr>
        <w:t>Executivo Municipal</w:t>
      </w:r>
      <w:r w:rsidRPr="001460F7">
        <w:rPr>
          <w:rFonts w:asciiTheme="majorHAnsi" w:hAnsiTheme="majorHAnsi"/>
          <w:sz w:val="26"/>
          <w:szCs w:val="26"/>
        </w:rPr>
        <w:t xml:space="preserve"> autorizado a conceder subvenção a </w:t>
      </w:r>
      <w:r w:rsidRPr="001460F7">
        <w:rPr>
          <w:rFonts w:asciiTheme="majorHAnsi" w:hAnsiTheme="majorHAnsi"/>
          <w:b/>
          <w:bCs/>
          <w:sz w:val="26"/>
          <w:szCs w:val="26"/>
        </w:rPr>
        <w:t xml:space="preserve">ACESAC - </w:t>
      </w:r>
      <w:r w:rsidRPr="001460F7">
        <w:rPr>
          <w:rFonts w:asciiTheme="majorHAnsi" w:eastAsia="Times-Roman" w:hAnsiTheme="majorHAnsi" w:cs="Times-Roman"/>
          <w:b/>
          <w:bCs/>
          <w:sz w:val="26"/>
          <w:szCs w:val="26"/>
        </w:rPr>
        <w:t>Ação Social e Educativa da Paróquia Santo Antonio de Cordeirópolis</w:t>
      </w:r>
      <w:r w:rsidRPr="001460F7">
        <w:rPr>
          <w:rFonts w:asciiTheme="majorHAnsi" w:eastAsia="Times-Roman" w:hAnsiTheme="majorHAnsi" w:cs="Times-Roman"/>
          <w:sz w:val="26"/>
          <w:szCs w:val="26"/>
        </w:rPr>
        <w:t xml:space="preserve"> e a </w:t>
      </w:r>
      <w:r w:rsidRPr="001460F7">
        <w:rPr>
          <w:rFonts w:asciiTheme="majorHAnsi" w:hAnsiTheme="majorHAnsi"/>
          <w:b/>
          <w:bCs/>
          <w:sz w:val="26"/>
          <w:szCs w:val="26"/>
        </w:rPr>
        <w:t xml:space="preserve">ACORAC - Associação Cordeiropolense de Apoio aos Portadores de Câncer, </w:t>
      </w:r>
      <w:r w:rsidRPr="001460F7">
        <w:rPr>
          <w:rFonts w:asciiTheme="majorHAnsi" w:eastAsia="Times-Roman" w:hAnsiTheme="majorHAnsi" w:cs="Times-Roman"/>
          <w:sz w:val="26"/>
          <w:szCs w:val="26"/>
        </w:rPr>
        <w:t xml:space="preserve">com base nas consignações orçamentárias do município, conforme </w:t>
      </w:r>
      <w:r w:rsidRPr="001460F7">
        <w:rPr>
          <w:rFonts w:asciiTheme="majorHAnsi" w:hAnsiTheme="majorHAnsi"/>
          <w:sz w:val="26"/>
          <w:szCs w:val="26"/>
        </w:rPr>
        <w:t>mencionado no “</w:t>
      </w:r>
      <w:r w:rsidRPr="001460F7">
        <w:rPr>
          <w:rFonts w:asciiTheme="majorHAnsi" w:hAnsiTheme="majorHAnsi"/>
          <w:b/>
          <w:bCs/>
          <w:sz w:val="26"/>
          <w:szCs w:val="26"/>
        </w:rPr>
        <w:t>Anexo”</w:t>
      </w:r>
      <w:r w:rsidRPr="001460F7">
        <w:rPr>
          <w:rFonts w:asciiTheme="majorHAnsi" w:hAnsiTheme="majorHAnsi"/>
          <w:sz w:val="26"/>
          <w:szCs w:val="26"/>
        </w:rPr>
        <w:t xml:space="preserve"> que acompanha a presente fazendo parte integrante da mesma.</w:t>
      </w:r>
    </w:p>
    <w:p w:rsidR="00BF7D7B" w:rsidRPr="001460F7" w:rsidRDefault="00BF7D7B">
      <w:pPr>
        <w:jc w:val="both"/>
        <w:rPr>
          <w:rFonts w:asciiTheme="majorHAnsi" w:hAnsiTheme="majorHAnsi"/>
          <w:sz w:val="26"/>
          <w:szCs w:val="26"/>
        </w:rPr>
      </w:pPr>
    </w:p>
    <w:p w:rsidR="00BF7D7B" w:rsidRPr="001460F7" w:rsidRDefault="009767F2">
      <w:pPr>
        <w:jc w:val="both"/>
        <w:rPr>
          <w:rFonts w:asciiTheme="majorHAnsi" w:eastAsia="DAAAAA+Perpetua" w:hAnsiTheme="majorHAnsi" w:cs="DAAAAA+Perpetua"/>
          <w:sz w:val="26"/>
          <w:szCs w:val="26"/>
        </w:rPr>
      </w:pPr>
      <w:r w:rsidRPr="001460F7">
        <w:rPr>
          <w:rFonts w:asciiTheme="majorHAnsi" w:eastAsia="BAAAAA+Perpetua-Bold" w:hAnsiTheme="majorHAnsi" w:cs="BAAAAA+Perpetua-Bold"/>
          <w:b/>
          <w:bCs/>
          <w:sz w:val="26"/>
          <w:szCs w:val="26"/>
          <w:u w:val="single"/>
        </w:rPr>
        <w:t>Art. 2º</w:t>
      </w:r>
      <w:r w:rsidRPr="001460F7">
        <w:rPr>
          <w:rFonts w:asciiTheme="majorHAnsi" w:eastAsia="BAAAAA+Perpetua-Bold" w:hAnsiTheme="majorHAnsi" w:cs="BAAAAA+Perpetua-Bold"/>
          <w:sz w:val="26"/>
          <w:szCs w:val="26"/>
        </w:rPr>
        <w:t xml:space="preserve"> - </w:t>
      </w:r>
      <w:r w:rsidRPr="001460F7">
        <w:rPr>
          <w:rFonts w:asciiTheme="majorHAnsi" w:eastAsia="DAAAAA+Perpetua" w:hAnsiTheme="majorHAnsi" w:cs="DAAAAA+Perpetua"/>
          <w:sz w:val="26"/>
          <w:szCs w:val="26"/>
        </w:rPr>
        <w:t xml:space="preserve">Os valores da subvenção constante do </w:t>
      </w:r>
      <w:r w:rsidRPr="001460F7">
        <w:rPr>
          <w:rFonts w:asciiTheme="majorHAnsi" w:eastAsia="DAAAAA+Perpetua" w:hAnsiTheme="majorHAnsi" w:cs="DAAAAA+Perpetua"/>
          <w:b/>
          <w:bCs/>
          <w:sz w:val="26"/>
          <w:szCs w:val="26"/>
        </w:rPr>
        <w:t>“anexo”</w:t>
      </w:r>
      <w:r w:rsidRPr="001460F7">
        <w:rPr>
          <w:rFonts w:asciiTheme="majorHAnsi" w:eastAsia="DAAAAA+Perpetua" w:hAnsiTheme="majorHAnsi" w:cs="DAAAAA+Perpetua"/>
          <w:sz w:val="26"/>
          <w:szCs w:val="26"/>
        </w:rPr>
        <w:t xml:space="preserve"> representa o teto autorizado por esta Lei, respeitadas as restrições do orçamento em vigor.</w:t>
      </w:r>
    </w:p>
    <w:p w:rsidR="00BF7D7B" w:rsidRPr="001460F7" w:rsidRDefault="00BF7D7B">
      <w:pPr>
        <w:autoSpaceDE w:val="0"/>
        <w:rPr>
          <w:rFonts w:asciiTheme="majorHAnsi" w:hAnsiTheme="majorHAnsi"/>
          <w:sz w:val="26"/>
          <w:szCs w:val="26"/>
        </w:rPr>
      </w:pPr>
    </w:p>
    <w:p w:rsidR="00BF7D7B" w:rsidRPr="001460F7" w:rsidRDefault="009767F2">
      <w:pPr>
        <w:autoSpaceDE w:val="0"/>
        <w:jc w:val="both"/>
        <w:rPr>
          <w:rFonts w:asciiTheme="majorHAnsi" w:hAnsiTheme="majorHAnsi" w:cs="Arial"/>
          <w:sz w:val="26"/>
          <w:szCs w:val="26"/>
        </w:rPr>
      </w:pPr>
      <w:r w:rsidRPr="001460F7">
        <w:rPr>
          <w:rFonts w:asciiTheme="majorHAnsi" w:eastAsia="Times-Roman" w:hAnsiTheme="majorHAnsi" w:cs="Times-Roman"/>
          <w:b/>
          <w:bCs/>
          <w:sz w:val="26"/>
          <w:szCs w:val="26"/>
          <w:u w:val="single"/>
        </w:rPr>
        <w:t>Art. 3º</w:t>
      </w:r>
      <w:r w:rsidRPr="001460F7">
        <w:rPr>
          <w:rFonts w:asciiTheme="majorHAnsi" w:eastAsia="Times-Roman" w:hAnsiTheme="majorHAnsi" w:cs="Times-Roman"/>
          <w:sz w:val="26"/>
          <w:szCs w:val="26"/>
        </w:rPr>
        <w:t xml:space="preserve"> - Fundamentadamente e nos limites das possibilidades do Município, a</w:t>
      </w:r>
      <w:r w:rsidRPr="001460F7">
        <w:rPr>
          <w:rFonts w:asciiTheme="majorHAnsi" w:hAnsiTheme="majorHAnsi"/>
          <w:sz w:val="26"/>
          <w:szCs w:val="26"/>
        </w:rPr>
        <w:t xml:space="preserve"> subvenção de que trata esta Lei objetiva repasse de recurso financeiro para fins de manutenção geral e</w:t>
      </w:r>
      <w:r w:rsidRPr="001460F7">
        <w:rPr>
          <w:rFonts w:asciiTheme="majorHAnsi" w:hAnsiTheme="majorHAnsi" w:cs="Arial"/>
          <w:sz w:val="26"/>
          <w:szCs w:val="26"/>
        </w:rPr>
        <w:t xml:space="preserve"> solvência de compromissos das Entidades no exercício de 2017.</w:t>
      </w:r>
    </w:p>
    <w:p w:rsidR="00BF7D7B" w:rsidRPr="001460F7" w:rsidRDefault="00BF7D7B">
      <w:pPr>
        <w:autoSpaceDE w:val="0"/>
        <w:jc w:val="both"/>
        <w:rPr>
          <w:rFonts w:asciiTheme="majorHAnsi" w:eastAsia="DAAAAA+Perpetua" w:hAnsiTheme="majorHAnsi" w:cs="DAAAAA+Perpetua"/>
          <w:sz w:val="26"/>
          <w:szCs w:val="26"/>
        </w:rPr>
      </w:pPr>
    </w:p>
    <w:p w:rsidR="00BF7D7B" w:rsidRPr="001460F7" w:rsidRDefault="009767F2">
      <w:pPr>
        <w:autoSpaceDE w:val="0"/>
        <w:jc w:val="both"/>
        <w:rPr>
          <w:rFonts w:asciiTheme="majorHAnsi" w:eastAsia="Times-Roman" w:hAnsiTheme="majorHAnsi" w:cs="Times-Roman"/>
          <w:sz w:val="26"/>
          <w:szCs w:val="26"/>
        </w:rPr>
      </w:pPr>
      <w:r w:rsidRPr="001460F7">
        <w:rPr>
          <w:rFonts w:asciiTheme="majorHAnsi" w:eastAsia="Times-Roman" w:hAnsiTheme="majorHAnsi" w:cs="Times-Roman"/>
          <w:b/>
          <w:bCs/>
          <w:sz w:val="26"/>
          <w:szCs w:val="26"/>
          <w:u w:val="single"/>
        </w:rPr>
        <w:t>Art. 4º</w:t>
      </w:r>
      <w:r w:rsidRPr="001460F7">
        <w:rPr>
          <w:rFonts w:asciiTheme="majorHAnsi" w:eastAsia="Times-Roman" w:hAnsiTheme="majorHAnsi" w:cs="Times-Roman"/>
          <w:sz w:val="26"/>
          <w:szCs w:val="26"/>
        </w:rPr>
        <w:t xml:space="preserve"> – Se a condição de funcionamento das Entidades e a prestação de contas dos recursos públicos já recebidos for julgada satisfatória a critério da </w:t>
      </w:r>
      <w:r w:rsidRPr="001460F7">
        <w:rPr>
          <w:rFonts w:asciiTheme="majorHAnsi" w:eastAsia="Times-Roman" w:hAnsiTheme="majorHAnsi" w:cs="Times-Roman"/>
          <w:b/>
          <w:bCs/>
          <w:sz w:val="26"/>
          <w:szCs w:val="26"/>
        </w:rPr>
        <w:t>Administração Municipal</w:t>
      </w:r>
      <w:r w:rsidRPr="001460F7">
        <w:rPr>
          <w:rFonts w:asciiTheme="majorHAnsi" w:eastAsia="Times-Roman" w:hAnsiTheme="majorHAnsi" w:cs="Times-Roman"/>
          <w:sz w:val="26"/>
          <w:szCs w:val="26"/>
        </w:rPr>
        <w:t>, será concedido o benefício desta Lei.</w:t>
      </w:r>
    </w:p>
    <w:p w:rsidR="00BF7D7B" w:rsidRPr="001460F7" w:rsidRDefault="00BF7D7B">
      <w:pPr>
        <w:autoSpaceDE w:val="0"/>
        <w:rPr>
          <w:rFonts w:asciiTheme="majorHAnsi" w:hAnsiTheme="majorHAnsi"/>
          <w:sz w:val="26"/>
          <w:szCs w:val="26"/>
        </w:rPr>
      </w:pPr>
    </w:p>
    <w:p w:rsidR="00BF7D7B" w:rsidRPr="001460F7" w:rsidRDefault="009767F2">
      <w:pPr>
        <w:jc w:val="both"/>
        <w:rPr>
          <w:rFonts w:asciiTheme="majorHAnsi" w:hAnsiTheme="majorHAnsi"/>
          <w:b/>
          <w:bCs/>
          <w:sz w:val="26"/>
          <w:szCs w:val="26"/>
        </w:rPr>
      </w:pPr>
      <w:r w:rsidRPr="001460F7">
        <w:rPr>
          <w:rFonts w:asciiTheme="majorHAnsi" w:hAnsiTheme="majorHAnsi"/>
          <w:b/>
          <w:bCs/>
          <w:sz w:val="26"/>
          <w:szCs w:val="26"/>
        </w:rPr>
        <w:tab/>
      </w:r>
      <w:r w:rsidRPr="001460F7">
        <w:rPr>
          <w:rFonts w:asciiTheme="majorHAnsi" w:hAnsiTheme="majorHAnsi"/>
          <w:b/>
          <w:bCs/>
          <w:sz w:val="26"/>
          <w:szCs w:val="26"/>
          <w:u w:val="single"/>
        </w:rPr>
        <w:t>Parágrafo Único</w:t>
      </w:r>
      <w:r w:rsidRPr="001460F7">
        <w:rPr>
          <w:rFonts w:asciiTheme="majorHAnsi" w:hAnsiTheme="majorHAnsi"/>
          <w:b/>
          <w:bCs/>
          <w:sz w:val="26"/>
          <w:szCs w:val="26"/>
        </w:rPr>
        <w:t xml:space="preserve"> - </w:t>
      </w:r>
      <w:r w:rsidRPr="001460F7">
        <w:rPr>
          <w:rFonts w:asciiTheme="majorHAnsi" w:hAnsiTheme="majorHAnsi"/>
          <w:sz w:val="26"/>
          <w:szCs w:val="26"/>
        </w:rPr>
        <w:t>As Entidades deverão estar com seu cadastro atualizado e prestar contas das despesas à Administração Municipal, anualmente, de forma a comprovar o destino do recurso repassado, tudo de conformidade com as</w:t>
      </w:r>
      <w:r w:rsidRPr="001460F7">
        <w:rPr>
          <w:rFonts w:asciiTheme="majorHAnsi" w:hAnsiTheme="majorHAnsi"/>
          <w:b/>
          <w:bCs/>
          <w:i/>
          <w:iCs/>
          <w:sz w:val="26"/>
          <w:szCs w:val="26"/>
        </w:rPr>
        <w:t xml:space="preserve"> </w:t>
      </w:r>
      <w:r w:rsidRPr="001460F7">
        <w:rPr>
          <w:rFonts w:asciiTheme="majorHAnsi" w:hAnsiTheme="majorHAnsi"/>
          <w:sz w:val="26"/>
          <w:szCs w:val="26"/>
        </w:rPr>
        <w:t xml:space="preserve">instruções emanadas pelo </w:t>
      </w:r>
      <w:r w:rsidRPr="001460F7">
        <w:rPr>
          <w:rFonts w:asciiTheme="majorHAnsi" w:hAnsiTheme="majorHAnsi"/>
          <w:b/>
          <w:bCs/>
          <w:sz w:val="26"/>
          <w:szCs w:val="26"/>
        </w:rPr>
        <w:t>Egrégio Tribunal de Contas do Estado de São Paulo.</w:t>
      </w:r>
    </w:p>
    <w:p w:rsidR="00BF7D7B" w:rsidRPr="001460F7" w:rsidRDefault="00BF7D7B">
      <w:pPr>
        <w:jc w:val="both"/>
        <w:rPr>
          <w:rFonts w:asciiTheme="majorHAnsi" w:hAnsiTheme="majorHAnsi"/>
          <w:sz w:val="26"/>
          <w:szCs w:val="26"/>
        </w:rPr>
      </w:pPr>
    </w:p>
    <w:p w:rsidR="00BF7D7B" w:rsidRPr="001460F7" w:rsidRDefault="009767F2">
      <w:pPr>
        <w:autoSpaceDE w:val="0"/>
        <w:jc w:val="both"/>
        <w:rPr>
          <w:rFonts w:asciiTheme="majorHAnsi" w:eastAsia="Times-Roman" w:hAnsiTheme="majorHAnsi" w:cs="Times-Roman"/>
          <w:sz w:val="26"/>
          <w:szCs w:val="26"/>
        </w:rPr>
      </w:pPr>
      <w:r w:rsidRPr="001460F7">
        <w:rPr>
          <w:rFonts w:asciiTheme="majorHAnsi" w:eastAsia="Times-Roman" w:hAnsiTheme="majorHAnsi" w:cs="Times-Roman"/>
          <w:b/>
          <w:bCs/>
          <w:sz w:val="26"/>
          <w:szCs w:val="26"/>
          <w:u w:val="single"/>
        </w:rPr>
        <w:t>Art. 5º</w:t>
      </w:r>
      <w:r w:rsidRPr="001460F7">
        <w:rPr>
          <w:rFonts w:asciiTheme="majorHAnsi" w:eastAsia="Times-Roman" w:hAnsiTheme="majorHAnsi" w:cs="Times-Roman"/>
          <w:sz w:val="26"/>
          <w:szCs w:val="26"/>
        </w:rPr>
        <w:t xml:space="preserve"> - A concessão de subvenção destinada as Entidades somente poderão serem realizadas após observadas as seguintes condições:</w:t>
      </w:r>
    </w:p>
    <w:p w:rsidR="00BF7D7B" w:rsidRPr="001460F7" w:rsidRDefault="00BF7D7B">
      <w:pPr>
        <w:autoSpaceDE w:val="0"/>
        <w:jc w:val="both"/>
        <w:rPr>
          <w:rFonts w:asciiTheme="majorHAnsi" w:eastAsia="Times-Roman" w:hAnsiTheme="majorHAnsi" w:cs="Times-Roman"/>
          <w:sz w:val="26"/>
          <w:szCs w:val="26"/>
        </w:rPr>
      </w:pPr>
    </w:p>
    <w:p w:rsidR="00BF7D7B" w:rsidRPr="001460F7" w:rsidRDefault="009767F2">
      <w:pPr>
        <w:autoSpaceDE w:val="0"/>
        <w:jc w:val="both"/>
        <w:rPr>
          <w:rFonts w:asciiTheme="majorHAnsi" w:eastAsia="Times-Roman" w:hAnsiTheme="majorHAnsi" w:cs="Times-Roman"/>
          <w:sz w:val="26"/>
          <w:szCs w:val="26"/>
        </w:rPr>
      </w:pPr>
      <w:r w:rsidRPr="001460F7">
        <w:rPr>
          <w:rFonts w:asciiTheme="majorHAnsi" w:eastAsia="Times-Roman" w:hAnsiTheme="majorHAnsi" w:cs="Times-Roman"/>
          <w:b/>
          <w:bCs/>
          <w:sz w:val="26"/>
          <w:szCs w:val="26"/>
        </w:rPr>
        <w:tab/>
        <w:t xml:space="preserve"> I</w:t>
      </w:r>
      <w:r w:rsidRPr="001460F7">
        <w:rPr>
          <w:rFonts w:asciiTheme="majorHAnsi" w:eastAsia="Times-Roman" w:hAnsiTheme="majorHAnsi" w:cs="Times-Roman"/>
          <w:sz w:val="26"/>
          <w:szCs w:val="26"/>
        </w:rPr>
        <w:t xml:space="preserve"> – atender direto ao público e de forma gratuita;</w:t>
      </w:r>
    </w:p>
    <w:p w:rsidR="00BF7D7B" w:rsidRPr="001460F7" w:rsidRDefault="009767F2">
      <w:pPr>
        <w:autoSpaceDE w:val="0"/>
        <w:jc w:val="both"/>
        <w:rPr>
          <w:rFonts w:asciiTheme="majorHAnsi" w:eastAsia="Times-Roman" w:hAnsiTheme="majorHAnsi" w:cs="Times-Roman"/>
          <w:sz w:val="26"/>
          <w:szCs w:val="26"/>
        </w:rPr>
      </w:pPr>
      <w:r w:rsidRPr="001460F7">
        <w:rPr>
          <w:rFonts w:asciiTheme="majorHAnsi" w:eastAsia="Times-Roman" w:hAnsiTheme="majorHAnsi" w:cs="Times-Roman"/>
          <w:b/>
          <w:bCs/>
          <w:sz w:val="26"/>
          <w:szCs w:val="26"/>
        </w:rPr>
        <w:tab/>
        <w:t>II</w:t>
      </w:r>
      <w:r w:rsidRPr="001460F7">
        <w:rPr>
          <w:rFonts w:asciiTheme="majorHAnsi" w:eastAsia="Times-Roman" w:hAnsiTheme="majorHAnsi" w:cs="Times-Roman"/>
          <w:sz w:val="26"/>
          <w:szCs w:val="26"/>
        </w:rPr>
        <w:t xml:space="preserve"> – não possuir débito de prestação de contas de recursos recebidos anteriormente;</w:t>
      </w:r>
    </w:p>
    <w:p w:rsidR="00BF7D7B" w:rsidRPr="001460F7" w:rsidRDefault="009767F2">
      <w:pPr>
        <w:autoSpaceDE w:val="0"/>
        <w:jc w:val="both"/>
        <w:rPr>
          <w:rFonts w:asciiTheme="majorHAnsi" w:eastAsia="Times-Roman" w:hAnsiTheme="majorHAnsi" w:cs="Times-Roman"/>
          <w:sz w:val="26"/>
          <w:szCs w:val="26"/>
        </w:rPr>
      </w:pPr>
      <w:r w:rsidRPr="001460F7">
        <w:rPr>
          <w:rFonts w:asciiTheme="majorHAnsi" w:eastAsia="Times-Roman" w:hAnsiTheme="majorHAnsi" w:cs="Times-Roman"/>
          <w:sz w:val="26"/>
          <w:szCs w:val="26"/>
        </w:rPr>
        <w:tab/>
      </w:r>
      <w:r w:rsidRPr="001460F7">
        <w:rPr>
          <w:rFonts w:asciiTheme="majorHAnsi" w:eastAsia="Times-Roman" w:hAnsiTheme="majorHAnsi" w:cs="Times-Roman"/>
          <w:b/>
          <w:bCs/>
          <w:sz w:val="26"/>
          <w:szCs w:val="26"/>
        </w:rPr>
        <w:t>III</w:t>
      </w:r>
      <w:r w:rsidRPr="001460F7">
        <w:rPr>
          <w:rFonts w:asciiTheme="majorHAnsi" w:eastAsia="Times-Roman" w:hAnsiTheme="majorHAnsi" w:cs="Times-Roman"/>
          <w:sz w:val="26"/>
          <w:szCs w:val="26"/>
        </w:rPr>
        <w:t xml:space="preserve"> – apresentar atestado de funcionamento expedido por autoridade competente;</w:t>
      </w:r>
    </w:p>
    <w:p w:rsidR="00BF7D7B" w:rsidRPr="001460F7" w:rsidRDefault="009767F2">
      <w:pPr>
        <w:autoSpaceDE w:val="0"/>
        <w:rPr>
          <w:rFonts w:asciiTheme="majorHAnsi" w:eastAsia="Times-Roman" w:hAnsiTheme="majorHAnsi" w:cs="Times-Roman"/>
          <w:sz w:val="26"/>
          <w:szCs w:val="26"/>
        </w:rPr>
      </w:pPr>
      <w:r w:rsidRPr="001460F7">
        <w:rPr>
          <w:rFonts w:asciiTheme="majorHAnsi" w:eastAsia="Times-Roman" w:hAnsiTheme="majorHAnsi" w:cs="Times-Roman"/>
          <w:b/>
          <w:bCs/>
          <w:sz w:val="26"/>
          <w:szCs w:val="26"/>
        </w:rPr>
        <w:tab/>
        <w:t xml:space="preserve">IV </w:t>
      </w:r>
      <w:r w:rsidRPr="001460F7">
        <w:rPr>
          <w:rFonts w:asciiTheme="majorHAnsi" w:eastAsia="Times-Roman" w:hAnsiTheme="majorHAnsi" w:cs="Times-Roman"/>
          <w:sz w:val="26"/>
          <w:szCs w:val="26"/>
        </w:rPr>
        <w:t>– comprovar a regularidade do mandato de sua diretoria;</w:t>
      </w:r>
    </w:p>
    <w:p w:rsidR="00BF7D7B" w:rsidRPr="001460F7" w:rsidRDefault="009767F2">
      <w:pPr>
        <w:autoSpaceDE w:val="0"/>
        <w:jc w:val="both"/>
        <w:rPr>
          <w:rFonts w:asciiTheme="majorHAnsi" w:eastAsia="Times-Roman" w:hAnsiTheme="majorHAnsi" w:cs="Times-Roman"/>
          <w:sz w:val="26"/>
          <w:szCs w:val="26"/>
        </w:rPr>
      </w:pPr>
      <w:r w:rsidRPr="001460F7">
        <w:rPr>
          <w:rFonts w:asciiTheme="majorHAnsi" w:eastAsia="Times-Roman" w:hAnsiTheme="majorHAnsi" w:cs="Times-Roman"/>
          <w:sz w:val="26"/>
          <w:szCs w:val="26"/>
        </w:rPr>
        <w:tab/>
      </w:r>
      <w:r w:rsidRPr="001460F7">
        <w:rPr>
          <w:rFonts w:asciiTheme="majorHAnsi" w:eastAsia="Times-Roman" w:hAnsiTheme="majorHAnsi" w:cs="Times-Roman"/>
          <w:b/>
          <w:bCs/>
          <w:sz w:val="26"/>
          <w:szCs w:val="26"/>
        </w:rPr>
        <w:t>V</w:t>
      </w:r>
      <w:r w:rsidRPr="001460F7">
        <w:rPr>
          <w:rFonts w:asciiTheme="majorHAnsi" w:eastAsia="Times-Roman" w:hAnsiTheme="majorHAnsi" w:cs="Times-Roman"/>
          <w:sz w:val="26"/>
          <w:szCs w:val="26"/>
        </w:rPr>
        <w:t xml:space="preserve"> – ser declarada como entidade de utilidade pública;</w:t>
      </w:r>
    </w:p>
    <w:p w:rsidR="00BF7D7B" w:rsidRPr="001460F7" w:rsidRDefault="009767F2">
      <w:pPr>
        <w:autoSpaceDE w:val="0"/>
        <w:jc w:val="both"/>
        <w:rPr>
          <w:rFonts w:asciiTheme="majorHAnsi" w:eastAsia="Times-Roman" w:hAnsiTheme="majorHAnsi" w:cs="Times-Roman"/>
          <w:sz w:val="26"/>
          <w:szCs w:val="26"/>
        </w:rPr>
      </w:pPr>
      <w:r w:rsidRPr="001460F7">
        <w:rPr>
          <w:rFonts w:asciiTheme="majorHAnsi" w:eastAsia="Times-Roman" w:hAnsiTheme="majorHAnsi" w:cs="Times-Roman"/>
          <w:sz w:val="26"/>
          <w:szCs w:val="26"/>
        </w:rPr>
        <w:tab/>
      </w:r>
      <w:r w:rsidRPr="001460F7">
        <w:rPr>
          <w:rFonts w:asciiTheme="majorHAnsi" w:eastAsia="Times-Roman" w:hAnsiTheme="majorHAnsi" w:cs="Times-Roman"/>
          <w:b/>
          <w:bCs/>
          <w:sz w:val="26"/>
          <w:szCs w:val="26"/>
        </w:rPr>
        <w:t>VI</w:t>
      </w:r>
      <w:r w:rsidRPr="001460F7">
        <w:rPr>
          <w:rFonts w:asciiTheme="majorHAnsi" w:eastAsia="Times-Roman" w:hAnsiTheme="majorHAnsi" w:cs="Times-Roman"/>
          <w:sz w:val="26"/>
          <w:szCs w:val="26"/>
        </w:rPr>
        <w:t xml:space="preserve"> – apresentar o plano de trabalho dos recursos, especificando as metas e objetivos;</w:t>
      </w:r>
    </w:p>
    <w:p w:rsidR="00BF7D7B" w:rsidRPr="001460F7" w:rsidRDefault="009767F2">
      <w:pPr>
        <w:autoSpaceDE w:val="0"/>
        <w:rPr>
          <w:rFonts w:asciiTheme="majorHAnsi" w:eastAsia="Times-Roman" w:hAnsiTheme="majorHAnsi" w:cs="Times-Roman"/>
          <w:sz w:val="26"/>
          <w:szCs w:val="26"/>
        </w:rPr>
      </w:pPr>
      <w:r w:rsidRPr="001460F7">
        <w:rPr>
          <w:rFonts w:asciiTheme="majorHAnsi" w:eastAsia="Times-Roman" w:hAnsiTheme="majorHAnsi" w:cs="Times-Roman"/>
          <w:sz w:val="26"/>
          <w:szCs w:val="26"/>
        </w:rPr>
        <w:tab/>
      </w:r>
      <w:r w:rsidRPr="001460F7">
        <w:rPr>
          <w:rFonts w:asciiTheme="majorHAnsi" w:eastAsia="Times-Roman" w:hAnsiTheme="majorHAnsi" w:cs="Times-Roman"/>
          <w:b/>
          <w:bCs/>
          <w:sz w:val="26"/>
          <w:szCs w:val="26"/>
        </w:rPr>
        <w:t>VII</w:t>
      </w:r>
      <w:r w:rsidRPr="001460F7">
        <w:rPr>
          <w:rFonts w:asciiTheme="majorHAnsi" w:eastAsia="Times-Roman" w:hAnsiTheme="majorHAnsi" w:cs="Times-Roman"/>
          <w:sz w:val="26"/>
          <w:szCs w:val="26"/>
        </w:rPr>
        <w:t xml:space="preserve"> – existir recursos orçamentários e financeiros;</w:t>
      </w:r>
    </w:p>
    <w:p w:rsidR="00BF7D7B" w:rsidRPr="001460F7" w:rsidRDefault="00BF7D7B">
      <w:pPr>
        <w:autoSpaceDE w:val="0"/>
        <w:rPr>
          <w:rFonts w:asciiTheme="majorHAnsi" w:eastAsia="Times-Roman" w:hAnsiTheme="majorHAnsi"/>
          <w:sz w:val="26"/>
          <w:szCs w:val="26"/>
        </w:rPr>
      </w:pPr>
    </w:p>
    <w:p w:rsidR="00BF7D7B" w:rsidRPr="001460F7" w:rsidRDefault="009767F2">
      <w:pPr>
        <w:jc w:val="both"/>
        <w:rPr>
          <w:rFonts w:asciiTheme="majorHAnsi" w:hAnsiTheme="majorHAnsi"/>
          <w:sz w:val="26"/>
          <w:szCs w:val="26"/>
        </w:rPr>
      </w:pPr>
      <w:r w:rsidRPr="001460F7">
        <w:rPr>
          <w:rFonts w:asciiTheme="majorHAnsi" w:hAnsiTheme="majorHAnsi"/>
          <w:b/>
          <w:bCs/>
          <w:sz w:val="26"/>
          <w:szCs w:val="26"/>
          <w:u w:val="single"/>
        </w:rPr>
        <w:t>Art. 6º</w:t>
      </w:r>
      <w:r w:rsidRPr="001460F7">
        <w:rPr>
          <w:rFonts w:asciiTheme="majorHAnsi" w:hAnsiTheme="majorHAnsi"/>
          <w:b/>
          <w:bCs/>
          <w:sz w:val="26"/>
          <w:szCs w:val="26"/>
        </w:rPr>
        <w:t xml:space="preserve"> - </w:t>
      </w:r>
      <w:r w:rsidRPr="001460F7">
        <w:rPr>
          <w:rFonts w:asciiTheme="majorHAnsi" w:hAnsiTheme="majorHAnsi"/>
          <w:sz w:val="26"/>
          <w:szCs w:val="26"/>
        </w:rPr>
        <w:t>A autorização contida na presente Lei terá vigência até 31 de dezembro de 2017.</w:t>
      </w:r>
    </w:p>
    <w:p w:rsidR="00BF7D7B" w:rsidRPr="001460F7" w:rsidRDefault="00BF7D7B">
      <w:pPr>
        <w:jc w:val="both"/>
        <w:rPr>
          <w:rFonts w:asciiTheme="majorHAnsi" w:eastAsia="Calibri" w:hAnsiTheme="majorHAnsi"/>
          <w:sz w:val="26"/>
          <w:szCs w:val="26"/>
        </w:rPr>
      </w:pPr>
    </w:p>
    <w:p w:rsidR="00BF7D7B" w:rsidRDefault="009767F2">
      <w:pPr>
        <w:jc w:val="both"/>
        <w:rPr>
          <w:rFonts w:asciiTheme="majorHAnsi" w:hAnsiTheme="majorHAnsi"/>
          <w:sz w:val="26"/>
          <w:szCs w:val="26"/>
        </w:rPr>
      </w:pPr>
      <w:r w:rsidRPr="001460F7">
        <w:rPr>
          <w:rFonts w:asciiTheme="majorHAnsi" w:hAnsiTheme="majorHAnsi"/>
          <w:b/>
          <w:bCs/>
          <w:sz w:val="26"/>
          <w:szCs w:val="26"/>
          <w:u w:val="single"/>
        </w:rPr>
        <w:t>Art. 7º</w:t>
      </w:r>
      <w:r w:rsidRPr="001460F7">
        <w:rPr>
          <w:rFonts w:asciiTheme="majorHAnsi" w:hAnsiTheme="majorHAnsi"/>
          <w:sz w:val="26"/>
          <w:szCs w:val="26"/>
        </w:rPr>
        <w:t xml:space="preserve"> - Esta Lei será, caso necessário e no que couber, regulamentada por Decreto do </w:t>
      </w:r>
      <w:r w:rsidRPr="001460F7">
        <w:rPr>
          <w:rFonts w:asciiTheme="majorHAnsi" w:hAnsiTheme="majorHAnsi"/>
          <w:b/>
          <w:bCs/>
          <w:sz w:val="26"/>
          <w:szCs w:val="26"/>
        </w:rPr>
        <w:lastRenderedPageBreak/>
        <w:t>Poder Executivo</w:t>
      </w:r>
      <w:r w:rsidRPr="001460F7">
        <w:rPr>
          <w:rFonts w:asciiTheme="majorHAnsi" w:hAnsiTheme="majorHAnsi"/>
          <w:sz w:val="26"/>
          <w:szCs w:val="26"/>
        </w:rPr>
        <w:t>, retroagindo seus efeitos a contar de 02 de janeiro de 2017, revogadas as disposições em contrário.</w:t>
      </w:r>
    </w:p>
    <w:p w:rsidR="001460F7" w:rsidRDefault="001460F7">
      <w:pPr>
        <w:jc w:val="both"/>
        <w:rPr>
          <w:rFonts w:asciiTheme="majorHAnsi" w:hAnsiTheme="majorHAnsi"/>
          <w:sz w:val="26"/>
          <w:szCs w:val="26"/>
        </w:rPr>
      </w:pPr>
    </w:p>
    <w:p w:rsidR="001460F7" w:rsidRPr="001460F7" w:rsidRDefault="001460F7" w:rsidP="001460F7">
      <w:pPr>
        <w:jc w:val="center"/>
        <w:rPr>
          <w:rFonts w:asciiTheme="majorHAnsi" w:hAnsiTheme="majorHAnsi"/>
          <w:bCs/>
          <w:sz w:val="26"/>
          <w:szCs w:val="26"/>
        </w:rPr>
      </w:pPr>
      <w:r w:rsidRPr="001460F7">
        <w:rPr>
          <w:rFonts w:asciiTheme="majorHAnsi" w:hAnsiTheme="majorHAnsi"/>
          <w:bCs/>
          <w:sz w:val="26"/>
          <w:szCs w:val="26"/>
        </w:rPr>
        <w:t>Câmara Municipal de Cordeirópolis, 19 de janeiro de 2017.</w:t>
      </w:r>
    </w:p>
    <w:p w:rsidR="001460F7" w:rsidRPr="001460F7" w:rsidRDefault="001460F7" w:rsidP="001460F7">
      <w:pPr>
        <w:ind w:firstLine="1417"/>
        <w:jc w:val="center"/>
        <w:rPr>
          <w:rFonts w:asciiTheme="majorHAnsi" w:hAnsiTheme="majorHAnsi"/>
          <w:bCs/>
          <w:sz w:val="26"/>
          <w:szCs w:val="26"/>
        </w:rPr>
      </w:pPr>
    </w:p>
    <w:p w:rsidR="001460F7" w:rsidRPr="001460F7" w:rsidRDefault="001460F7" w:rsidP="001460F7">
      <w:pPr>
        <w:jc w:val="center"/>
        <w:rPr>
          <w:rFonts w:asciiTheme="majorHAnsi" w:hAnsiTheme="majorHAnsi"/>
          <w:bCs/>
          <w:sz w:val="26"/>
          <w:szCs w:val="26"/>
        </w:rPr>
      </w:pPr>
    </w:p>
    <w:p w:rsidR="001460F7" w:rsidRPr="001460F7" w:rsidRDefault="001460F7" w:rsidP="001460F7">
      <w:pPr>
        <w:ind w:firstLine="1417"/>
        <w:jc w:val="center"/>
        <w:rPr>
          <w:rFonts w:asciiTheme="majorHAnsi" w:hAnsiTheme="majorHAnsi"/>
          <w:bCs/>
          <w:sz w:val="26"/>
          <w:szCs w:val="26"/>
        </w:rPr>
      </w:pPr>
    </w:p>
    <w:p w:rsidR="001460F7" w:rsidRPr="001460F7" w:rsidRDefault="001460F7" w:rsidP="001460F7">
      <w:pPr>
        <w:autoSpaceDE w:val="0"/>
        <w:jc w:val="center"/>
        <w:rPr>
          <w:rFonts w:asciiTheme="majorHAnsi" w:hAnsiTheme="majorHAnsi"/>
          <w:b/>
          <w:sz w:val="26"/>
          <w:szCs w:val="26"/>
        </w:rPr>
      </w:pPr>
      <w:r w:rsidRPr="001460F7">
        <w:rPr>
          <w:rFonts w:asciiTheme="majorHAnsi" w:hAnsiTheme="majorHAnsi"/>
          <w:b/>
          <w:sz w:val="26"/>
          <w:szCs w:val="26"/>
        </w:rPr>
        <w:t>LAERTE LOURENÇO</w:t>
      </w:r>
    </w:p>
    <w:p w:rsidR="001460F7" w:rsidRPr="001460F7" w:rsidRDefault="001460F7" w:rsidP="001460F7">
      <w:pPr>
        <w:autoSpaceDE w:val="0"/>
        <w:jc w:val="center"/>
        <w:rPr>
          <w:rFonts w:asciiTheme="majorHAnsi" w:hAnsiTheme="majorHAnsi"/>
          <w:b/>
          <w:sz w:val="26"/>
          <w:szCs w:val="26"/>
        </w:rPr>
      </w:pPr>
      <w:r w:rsidRPr="001460F7">
        <w:rPr>
          <w:rFonts w:asciiTheme="majorHAnsi" w:hAnsiTheme="majorHAnsi"/>
          <w:b/>
          <w:sz w:val="26"/>
          <w:szCs w:val="26"/>
        </w:rPr>
        <w:t>Presidente</w:t>
      </w:r>
    </w:p>
    <w:p w:rsidR="001460F7" w:rsidRPr="001460F7" w:rsidRDefault="001460F7" w:rsidP="001460F7">
      <w:pPr>
        <w:autoSpaceDE w:val="0"/>
        <w:jc w:val="center"/>
        <w:rPr>
          <w:rFonts w:asciiTheme="majorHAnsi" w:hAnsiTheme="majorHAnsi"/>
          <w:b/>
          <w:sz w:val="26"/>
          <w:szCs w:val="26"/>
        </w:rPr>
      </w:pPr>
    </w:p>
    <w:p w:rsidR="001460F7" w:rsidRPr="001460F7" w:rsidRDefault="001460F7" w:rsidP="001460F7">
      <w:pPr>
        <w:autoSpaceDE w:val="0"/>
        <w:jc w:val="center"/>
        <w:rPr>
          <w:rFonts w:asciiTheme="majorHAnsi" w:hAnsiTheme="majorHAnsi"/>
          <w:b/>
          <w:sz w:val="26"/>
          <w:szCs w:val="26"/>
        </w:rPr>
      </w:pPr>
    </w:p>
    <w:p w:rsidR="001460F7" w:rsidRPr="001460F7" w:rsidRDefault="001460F7" w:rsidP="001460F7">
      <w:pPr>
        <w:autoSpaceDE w:val="0"/>
        <w:jc w:val="center"/>
        <w:rPr>
          <w:rFonts w:asciiTheme="majorHAnsi" w:hAnsiTheme="majorHAnsi"/>
          <w:b/>
          <w:sz w:val="26"/>
          <w:szCs w:val="26"/>
        </w:rPr>
      </w:pPr>
    </w:p>
    <w:p w:rsidR="001460F7" w:rsidRPr="001460F7" w:rsidRDefault="001460F7" w:rsidP="001460F7">
      <w:pPr>
        <w:autoSpaceDE w:val="0"/>
        <w:jc w:val="center"/>
        <w:rPr>
          <w:rFonts w:asciiTheme="majorHAnsi" w:hAnsiTheme="majorHAnsi"/>
          <w:b/>
          <w:sz w:val="26"/>
          <w:szCs w:val="26"/>
        </w:rPr>
      </w:pPr>
      <w:r w:rsidRPr="001460F7">
        <w:rPr>
          <w:rFonts w:asciiTheme="majorHAnsi" w:hAnsiTheme="majorHAnsi"/>
          <w:b/>
          <w:sz w:val="26"/>
          <w:szCs w:val="26"/>
        </w:rPr>
        <w:tab/>
        <w:t xml:space="preserve">     CÁSSIA DE MORAES</w:t>
      </w:r>
      <w:r w:rsidRPr="001460F7">
        <w:rPr>
          <w:rFonts w:asciiTheme="majorHAnsi" w:hAnsiTheme="majorHAnsi"/>
          <w:b/>
          <w:sz w:val="26"/>
          <w:szCs w:val="26"/>
        </w:rPr>
        <w:tab/>
      </w:r>
      <w:r w:rsidRPr="001460F7">
        <w:rPr>
          <w:rFonts w:asciiTheme="majorHAnsi" w:hAnsiTheme="majorHAnsi"/>
          <w:b/>
          <w:sz w:val="26"/>
          <w:szCs w:val="26"/>
        </w:rPr>
        <w:tab/>
      </w:r>
      <w:r w:rsidRPr="001460F7">
        <w:rPr>
          <w:rFonts w:asciiTheme="majorHAnsi" w:hAnsiTheme="majorHAnsi"/>
          <w:b/>
          <w:sz w:val="26"/>
          <w:szCs w:val="26"/>
        </w:rPr>
        <w:tab/>
        <w:t>SANDRA CRISTINA DOS SANTOS</w:t>
      </w:r>
    </w:p>
    <w:p w:rsidR="001460F7" w:rsidRPr="001460F7" w:rsidRDefault="001460F7" w:rsidP="001460F7">
      <w:pPr>
        <w:autoSpaceDE w:val="0"/>
        <w:jc w:val="center"/>
        <w:rPr>
          <w:rFonts w:asciiTheme="majorHAnsi" w:hAnsiTheme="majorHAnsi"/>
          <w:b/>
          <w:sz w:val="26"/>
          <w:szCs w:val="26"/>
        </w:rPr>
      </w:pPr>
      <w:r w:rsidRPr="001460F7">
        <w:rPr>
          <w:rFonts w:asciiTheme="majorHAnsi" w:hAnsiTheme="majorHAnsi"/>
          <w:b/>
          <w:sz w:val="26"/>
          <w:szCs w:val="26"/>
        </w:rPr>
        <w:tab/>
        <w:t>1ª Secretária</w:t>
      </w:r>
      <w:r w:rsidRPr="001460F7">
        <w:rPr>
          <w:rFonts w:asciiTheme="majorHAnsi" w:hAnsiTheme="majorHAnsi"/>
          <w:b/>
          <w:sz w:val="26"/>
          <w:szCs w:val="26"/>
        </w:rPr>
        <w:tab/>
      </w:r>
      <w:r w:rsidRPr="001460F7">
        <w:rPr>
          <w:rFonts w:asciiTheme="majorHAnsi" w:hAnsiTheme="majorHAnsi"/>
          <w:b/>
          <w:sz w:val="26"/>
          <w:szCs w:val="26"/>
        </w:rPr>
        <w:tab/>
      </w:r>
      <w:r w:rsidRPr="001460F7">
        <w:rPr>
          <w:rFonts w:asciiTheme="majorHAnsi" w:hAnsiTheme="majorHAnsi"/>
          <w:b/>
          <w:sz w:val="26"/>
          <w:szCs w:val="26"/>
        </w:rPr>
        <w:tab/>
      </w:r>
      <w:r w:rsidRPr="001460F7">
        <w:rPr>
          <w:rFonts w:asciiTheme="majorHAnsi" w:hAnsiTheme="majorHAnsi"/>
          <w:b/>
          <w:sz w:val="26"/>
          <w:szCs w:val="26"/>
        </w:rPr>
        <w:tab/>
      </w:r>
      <w:r w:rsidRPr="001460F7">
        <w:rPr>
          <w:rFonts w:asciiTheme="majorHAnsi" w:hAnsiTheme="majorHAnsi"/>
          <w:b/>
          <w:sz w:val="26"/>
          <w:szCs w:val="26"/>
        </w:rPr>
        <w:tab/>
        <w:t>2ª Secretária</w:t>
      </w:r>
    </w:p>
    <w:p w:rsidR="001460F7" w:rsidRDefault="001460F7" w:rsidP="001460F7"/>
    <w:p w:rsidR="001460F7" w:rsidRPr="001460F7" w:rsidRDefault="001460F7">
      <w:pPr>
        <w:jc w:val="both"/>
        <w:rPr>
          <w:rFonts w:asciiTheme="majorHAnsi" w:hAnsiTheme="majorHAnsi"/>
          <w:sz w:val="25"/>
          <w:szCs w:val="25"/>
        </w:rPr>
      </w:pPr>
    </w:p>
    <w:p w:rsidR="00BF7D7B" w:rsidRPr="001460F7" w:rsidRDefault="00BF7D7B">
      <w:pPr>
        <w:jc w:val="both"/>
        <w:rPr>
          <w:rFonts w:asciiTheme="majorHAnsi" w:hAnsiTheme="majorHAnsi" w:cs="Arial"/>
          <w:sz w:val="25"/>
          <w:szCs w:val="25"/>
        </w:rPr>
      </w:pPr>
    </w:p>
    <w:p w:rsidR="00BF7D7B" w:rsidRPr="001460F7" w:rsidRDefault="009767F2">
      <w:pPr>
        <w:jc w:val="center"/>
        <w:rPr>
          <w:rFonts w:asciiTheme="majorHAnsi" w:hAnsiTheme="majorHAnsi"/>
          <w:b/>
          <w:bCs/>
          <w:sz w:val="25"/>
          <w:szCs w:val="25"/>
        </w:rPr>
      </w:pPr>
      <w:r w:rsidRPr="001460F7">
        <w:rPr>
          <w:rFonts w:asciiTheme="majorHAnsi" w:hAnsiTheme="majorHAnsi"/>
          <w:b/>
          <w:bCs/>
          <w:sz w:val="25"/>
          <w:szCs w:val="25"/>
        </w:rPr>
        <w:t>ANEXO</w:t>
      </w:r>
    </w:p>
    <w:p w:rsidR="00BF7D7B" w:rsidRPr="001460F7" w:rsidRDefault="00BF7D7B">
      <w:pPr>
        <w:jc w:val="center"/>
        <w:rPr>
          <w:rFonts w:asciiTheme="majorHAnsi" w:hAnsiTheme="majorHAnsi"/>
          <w:b/>
          <w:bCs/>
          <w:sz w:val="25"/>
          <w:szCs w:val="25"/>
        </w:rPr>
      </w:pPr>
    </w:p>
    <w:p w:rsidR="00BF7D7B" w:rsidRPr="001460F7" w:rsidRDefault="00BF7D7B">
      <w:pPr>
        <w:jc w:val="center"/>
        <w:rPr>
          <w:rFonts w:asciiTheme="majorHAnsi" w:hAnsiTheme="majorHAnsi"/>
          <w:b/>
          <w:bCs/>
          <w:sz w:val="25"/>
          <w:szCs w:val="25"/>
        </w:rPr>
      </w:pPr>
    </w:p>
    <w:tbl>
      <w:tblPr>
        <w:tblW w:w="10325" w:type="dxa"/>
        <w:tblInd w:w="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27"/>
        <w:gridCol w:w="2137"/>
        <w:gridCol w:w="3402"/>
        <w:gridCol w:w="1656"/>
        <w:gridCol w:w="2003"/>
      </w:tblGrid>
      <w:tr w:rsidR="00BF7D7B" w:rsidRPr="001460F7" w:rsidTr="001460F7">
        <w:tc>
          <w:tcPr>
            <w:tcW w:w="103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7D7B" w:rsidRPr="001460F7" w:rsidRDefault="009767F2">
            <w:pPr>
              <w:pStyle w:val="Contedodatabela"/>
              <w:snapToGrid w:val="0"/>
              <w:jc w:val="center"/>
              <w:rPr>
                <w:rFonts w:asciiTheme="majorHAnsi" w:hAnsiTheme="majorHAnsi"/>
                <w:b/>
                <w:bCs/>
                <w:sz w:val="25"/>
                <w:szCs w:val="25"/>
              </w:rPr>
            </w:pPr>
            <w:r w:rsidRPr="001460F7">
              <w:rPr>
                <w:rFonts w:asciiTheme="majorHAnsi" w:hAnsiTheme="majorHAnsi"/>
                <w:b/>
                <w:bCs/>
                <w:sz w:val="25"/>
                <w:szCs w:val="25"/>
              </w:rPr>
              <w:t>PREFEITURA MUNICIPAL DE CORDEIRÓPOLIS</w:t>
            </w:r>
          </w:p>
        </w:tc>
      </w:tr>
      <w:tr w:rsidR="00BF7D7B" w:rsidRPr="001460F7" w:rsidTr="001460F7">
        <w:tc>
          <w:tcPr>
            <w:tcW w:w="1032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7D7B" w:rsidRPr="001460F7" w:rsidRDefault="009767F2">
            <w:pPr>
              <w:pStyle w:val="Contedodatabela"/>
              <w:snapToGrid w:val="0"/>
              <w:jc w:val="both"/>
              <w:rPr>
                <w:rFonts w:asciiTheme="majorHAnsi" w:hAnsiTheme="majorHAnsi"/>
                <w:b/>
                <w:bCs/>
                <w:sz w:val="25"/>
                <w:szCs w:val="25"/>
              </w:rPr>
            </w:pPr>
            <w:r w:rsidRPr="001460F7">
              <w:rPr>
                <w:rFonts w:asciiTheme="majorHAnsi" w:hAnsiTheme="majorHAnsi"/>
                <w:b/>
                <w:bCs/>
                <w:sz w:val="25"/>
                <w:szCs w:val="25"/>
              </w:rPr>
              <w:t xml:space="preserve">Relação da Entidade a ser subvencionada no exercício de 2017 - Lei Municipal nº      de     </w:t>
            </w:r>
            <w:proofErr w:type="spellStart"/>
            <w:r w:rsidRPr="001460F7">
              <w:rPr>
                <w:rFonts w:asciiTheme="majorHAnsi" w:hAnsiTheme="majorHAnsi"/>
                <w:b/>
                <w:bCs/>
                <w:sz w:val="25"/>
                <w:szCs w:val="25"/>
              </w:rPr>
              <w:t>de</w:t>
            </w:r>
            <w:proofErr w:type="spellEnd"/>
            <w:r w:rsidRPr="001460F7">
              <w:rPr>
                <w:rFonts w:asciiTheme="majorHAnsi" w:hAnsiTheme="majorHAnsi"/>
                <w:b/>
                <w:bCs/>
                <w:sz w:val="25"/>
                <w:szCs w:val="25"/>
              </w:rPr>
              <w:t xml:space="preserve">              </w:t>
            </w:r>
            <w:proofErr w:type="spellStart"/>
            <w:r w:rsidRPr="001460F7">
              <w:rPr>
                <w:rFonts w:asciiTheme="majorHAnsi" w:hAnsiTheme="majorHAnsi"/>
                <w:b/>
                <w:bCs/>
                <w:sz w:val="25"/>
                <w:szCs w:val="25"/>
              </w:rPr>
              <w:t>de</w:t>
            </w:r>
            <w:proofErr w:type="spellEnd"/>
            <w:r w:rsidRPr="001460F7">
              <w:rPr>
                <w:rFonts w:asciiTheme="majorHAnsi" w:hAnsiTheme="majorHAnsi"/>
                <w:b/>
                <w:bCs/>
                <w:sz w:val="25"/>
                <w:szCs w:val="25"/>
              </w:rPr>
              <w:t xml:space="preserve">           2017.</w:t>
            </w:r>
          </w:p>
        </w:tc>
      </w:tr>
      <w:tr w:rsidR="00BF7D7B" w:rsidRPr="001460F7" w:rsidTr="001460F7">
        <w:tc>
          <w:tcPr>
            <w:tcW w:w="1127" w:type="dxa"/>
            <w:tcBorders>
              <w:left w:val="single" w:sz="1" w:space="0" w:color="000000"/>
              <w:bottom w:val="single" w:sz="1" w:space="0" w:color="000000"/>
            </w:tcBorders>
          </w:tcPr>
          <w:p w:rsidR="00BF7D7B" w:rsidRPr="001460F7" w:rsidRDefault="009767F2">
            <w:pPr>
              <w:pStyle w:val="Contedodatabela"/>
              <w:snapToGrid w:val="0"/>
              <w:jc w:val="both"/>
              <w:rPr>
                <w:rFonts w:asciiTheme="majorHAnsi" w:hAnsiTheme="majorHAnsi"/>
                <w:b/>
                <w:bCs/>
                <w:sz w:val="25"/>
                <w:szCs w:val="25"/>
              </w:rPr>
            </w:pPr>
            <w:r w:rsidRPr="001460F7">
              <w:rPr>
                <w:rFonts w:asciiTheme="majorHAnsi" w:hAnsiTheme="majorHAnsi"/>
                <w:b/>
                <w:bCs/>
                <w:sz w:val="25"/>
                <w:szCs w:val="25"/>
              </w:rPr>
              <w:t>ACESAC</w:t>
            </w:r>
          </w:p>
        </w:tc>
        <w:tc>
          <w:tcPr>
            <w:tcW w:w="2137" w:type="dxa"/>
            <w:tcBorders>
              <w:left w:val="single" w:sz="1" w:space="0" w:color="000000"/>
              <w:bottom w:val="single" w:sz="1" w:space="0" w:color="000000"/>
            </w:tcBorders>
          </w:tcPr>
          <w:p w:rsidR="00BF7D7B" w:rsidRPr="001460F7" w:rsidRDefault="009767F2">
            <w:pPr>
              <w:pStyle w:val="Contedodatabela"/>
              <w:snapToGrid w:val="0"/>
              <w:jc w:val="both"/>
              <w:rPr>
                <w:rFonts w:asciiTheme="majorHAnsi" w:hAnsiTheme="majorHAnsi"/>
                <w:b/>
                <w:bCs/>
                <w:sz w:val="25"/>
                <w:szCs w:val="25"/>
              </w:rPr>
            </w:pPr>
            <w:r w:rsidRPr="001460F7">
              <w:rPr>
                <w:rFonts w:asciiTheme="majorHAnsi" w:hAnsiTheme="majorHAnsi"/>
                <w:b/>
                <w:bCs/>
                <w:sz w:val="25"/>
                <w:szCs w:val="25"/>
              </w:rPr>
              <w:t>Apoio a Entidade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BF7D7B" w:rsidRPr="001460F7" w:rsidRDefault="009767F2">
            <w:pPr>
              <w:pStyle w:val="Contedodatabela"/>
              <w:snapToGrid w:val="0"/>
              <w:jc w:val="both"/>
              <w:rPr>
                <w:rFonts w:asciiTheme="majorHAnsi" w:hAnsiTheme="majorHAnsi"/>
                <w:b/>
                <w:bCs/>
                <w:sz w:val="25"/>
                <w:szCs w:val="25"/>
              </w:rPr>
            </w:pPr>
            <w:r w:rsidRPr="001460F7">
              <w:rPr>
                <w:rFonts w:asciiTheme="majorHAnsi" w:hAnsiTheme="majorHAnsi"/>
                <w:b/>
                <w:bCs/>
                <w:sz w:val="25"/>
                <w:szCs w:val="25"/>
              </w:rPr>
              <w:t>03.02.00-08.244.0330-2033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</w:tcPr>
          <w:p w:rsidR="00BF7D7B" w:rsidRPr="001460F7" w:rsidRDefault="009767F2">
            <w:pPr>
              <w:pStyle w:val="Contedodatabela"/>
              <w:snapToGrid w:val="0"/>
              <w:jc w:val="center"/>
              <w:rPr>
                <w:rFonts w:asciiTheme="majorHAnsi" w:hAnsiTheme="majorHAnsi"/>
                <w:b/>
                <w:bCs/>
                <w:sz w:val="25"/>
                <w:szCs w:val="25"/>
              </w:rPr>
            </w:pPr>
            <w:r w:rsidRPr="001460F7">
              <w:rPr>
                <w:rFonts w:asciiTheme="majorHAnsi" w:hAnsiTheme="majorHAnsi"/>
                <w:b/>
                <w:bCs/>
                <w:sz w:val="25"/>
                <w:szCs w:val="25"/>
              </w:rPr>
              <w:t>3.3.50.43.00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7D7B" w:rsidRPr="001460F7" w:rsidRDefault="009767F2">
            <w:pPr>
              <w:pStyle w:val="Contedodatabela"/>
              <w:snapToGrid w:val="0"/>
              <w:jc w:val="right"/>
              <w:rPr>
                <w:rFonts w:asciiTheme="majorHAnsi" w:hAnsiTheme="majorHAnsi"/>
                <w:b/>
                <w:bCs/>
                <w:sz w:val="25"/>
                <w:szCs w:val="25"/>
              </w:rPr>
            </w:pPr>
            <w:r w:rsidRPr="001460F7">
              <w:rPr>
                <w:rFonts w:asciiTheme="majorHAnsi" w:hAnsiTheme="majorHAnsi"/>
                <w:b/>
                <w:bCs/>
                <w:sz w:val="25"/>
                <w:szCs w:val="25"/>
              </w:rPr>
              <w:t>50.000,00</w:t>
            </w:r>
          </w:p>
        </w:tc>
      </w:tr>
      <w:tr w:rsidR="00BF7D7B" w:rsidRPr="001460F7" w:rsidTr="001460F7">
        <w:tc>
          <w:tcPr>
            <w:tcW w:w="1127" w:type="dxa"/>
            <w:tcBorders>
              <w:left w:val="single" w:sz="1" w:space="0" w:color="000000"/>
              <w:bottom w:val="single" w:sz="1" w:space="0" w:color="000000"/>
            </w:tcBorders>
          </w:tcPr>
          <w:p w:rsidR="00BF7D7B" w:rsidRPr="001460F7" w:rsidRDefault="009767F2">
            <w:pPr>
              <w:pStyle w:val="Contedodatabela"/>
              <w:snapToGrid w:val="0"/>
              <w:jc w:val="both"/>
              <w:rPr>
                <w:rFonts w:asciiTheme="majorHAnsi" w:hAnsiTheme="majorHAnsi"/>
                <w:b/>
                <w:bCs/>
                <w:sz w:val="25"/>
                <w:szCs w:val="25"/>
              </w:rPr>
            </w:pPr>
            <w:r w:rsidRPr="001460F7">
              <w:rPr>
                <w:rFonts w:asciiTheme="majorHAnsi" w:hAnsiTheme="majorHAnsi"/>
                <w:b/>
                <w:bCs/>
                <w:sz w:val="25"/>
                <w:szCs w:val="25"/>
              </w:rPr>
              <w:t>ACORAC</w:t>
            </w:r>
          </w:p>
        </w:tc>
        <w:tc>
          <w:tcPr>
            <w:tcW w:w="2137" w:type="dxa"/>
            <w:tcBorders>
              <w:left w:val="single" w:sz="1" w:space="0" w:color="000000"/>
              <w:bottom w:val="single" w:sz="1" w:space="0" w:color="000000"/>
            </w:tcBorders>
          </w:tcPr>
          <w:p w:rsidR="00BF7D7B" w:rsidRPr="001460F7" w:rsidRDefault="009767F2">
            <w:pPr>
              <w:pStyle w:val="Contedodatabela"/>
              <w:snapToGrid w:val="0"/>
              <w:jc w:val="both"/>
              <w:rPr>
                <w:rFonts w:asciiTheme="majorHAnsi" w:hAnsiTheme="majorHAnsi"/>
                <w:b/>
                <w:bCs/>
                <w:sz w:val="25"/>
                <w:szCs w:val="25"/>
              </w:rPr>
            </w:pPr>
            <w:r w:rsidRPr="001460F7">
              <w:rPr>
                <w:rFonts w:asciiTheme="majorHAnsi" w:hAnsiTheme="majorHAnsi"/>
                <w:b/>
                <w:bCs/>
                <w:sz w:val="25"/>
                <w:szCs w:val="25"/>
              </w:rPr>
              <w:t>Apoio a Entidade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BF7D7B" w:rsidRPr="001460F7" w:rsidRDefault="009767F2">
            <w:pPr>
              <w:pStyle w:val="Contedodatabela"/>
              <w:snapToGrid w:val="0"/>
              <w:jc w:val="both"/>
              <w:rPr>
                <w:rFonts w:asciiTheme="majorHAnsi" w:hAnsiTheme="majorHAnsi"/>
                <w:b/>
                <w:bCs/>
                <w:sz w:val="25"/>
                <w:szCs w:val="25"/>
              </w:rPr>
            </w:pPr>
            <w:r w:rsidRPr="001460F7">
              <w:rPr>
                <w:rFonts w:asciiTheme="majorHAnsi" w:hAnsiTheme="majorHAnsi"/>
                <w:b/>
                <w:bCs/>
                <w:sz w:val="25"/>
                <w:szCs w:val="25"/>
              </w:rPr>
              <w:t>03.02.00-08.244.0330-2033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</w:tcPr>
          <w:p w:rsidR="00BF7D7B" w:rsidRPr="001460F7" w:rsidRDefault="009767F2">
            <w:pPr>
              <w:pStyle w:val="Contedodatabela"/>
              <w:snapToGrid w:val="0"/>
              <w:jc w:val="center"/>
              <w:rPr>
                <w:rFonts w:asciiTheme="majorHAnsi" w:hAnsiTheme="majorHAnsi"/>
                <w:b/>
                <w:bCs/>
                <w:sz w:val="25"/>
                <w:szCs w:val="25"/>
              </w:rPr>
            </w:pPr>
            <w:r w:rsidRPr="001460F7">
              <w:rPr>
                <w:rFonts w:asciiTheme="majorHAnsi" w:hAnsiTheme="majorHAnsi"/>
                <w:b/>
                <w:bCs/>
                <w:sz w:val="25"/>
                <w:szCs w:val="25"/>
              </w:rPr>
              <w:t>3.3.50.43.00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7D7B" w:rsidRPr="001460F7" w:rsidRDefault="009767F2">
            <w:pPr>
              <w:pStyle w:val="Contedodatabela"/>
              <w:snapToGrid w:val="0"/>
              <w:jc w:val="right"/>
              <w:rPr>
                <w:rFonts w:asciiTheme="majorHAnsi" w:hAnsiTheme="majorHAnsi"/>
                <w:b/>
                <w:bCs/>
                <w:sz w:val="25"/>
                <w:szCs w:val="25"/>
              </w:rPr>
            </w:pPr>
            <w:r w:rsidRPr="001460F7">
              <w:rPr>
                <w:rFonts w:asciiTheme="majorHAnsi" w:hAnsiTheme="majorHAnsi"/>
                <w:b/>
                <w:bCs/>
                <w:sz w:val="25"/>
                <w:szCs w:val="25"/>
              </w:rPr>
              <w:t>50.000,00</w:t>
            </w:r>
          </w:p>
        </w:tc>
      </w:tr>
      <w:tr w:rsidR="00BF7D7B" w:rsidRPr="001460F7" w:rsidTr="001460F7">
        <w:tc>
          <w:tcPr>
            <w:tcW w:w="8322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BF7D7B" w:rsidRPr="001460F7" w:rsidRDefault="009767F2">
            <w:pPr>
              <w:pStyle w:val="Contedodatabela"/>
              <w:snapToGrid w:val="0"/>
              <w:jc w:val="right"/>
              <w:rPr>
                <w:rFonts w:asciiTheme="majorHAnsi" w:hAnsiTheme="majorHAnsi"/>
                <w:b/>
                <w:bCs/>
                <w:sz w:val="25"/>
                <w:szCs w:val="25"/>
              </w:rPr>
            </w:pPr>
            <w:r w:rsidRPr="001460F7">
              <w:rPr>
                <w:rFonts w:asciiTheme="majorHAnsi" w:hAnsiTheme="majorHAnsi"/>
                <w:b/>
                <w:bCs/>
                <w:sz w:val="25"/>
                <w:szCs w:val="25"/>
              </w:rPr>
              <w:t>Total.............................................................................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7D7B" w:rsidRPr="001460F7" w:rsidRDefault="009767F2">
            <w:pPr>
              <w:pStyle w:val="Contedodatabela"/>
              <w:snapToGrid w:val="0"/>
              <w:jc w:val="right"/>
              <w:rPr>
                <w:rFonts w:asciiTheme="majorHAnsi" w:hAnsiTheme="majorHAnsi"/>
                <w:b/>
                <w:bCs/>
                <w:sz w:val="25"/>
                <w:szCs w:val="25"/>
              </w:rPr>
            </w:pPr>
            <w:r w:rsidRPr="001460F7">
              <w:rPr>
                <w:rFonts w:asciiTheme="majorHAnsi" w:hAnsiTheme="majorHAnsi"/>
                <w:b/>
                <w:bCs/>
                <w:sz w:val="25"/>
                <w:szCs w:val="25"/>
              </w:rPr>
              <w:t>100.000,00</w:t>
            </w:r>
          </w:p>
        </w:tc>
      </w:tr>
    </w:tbl>
    <w:p w:rsidR="00BF7D7B" w:rsidRPr="001460F7" w:rsidRDefault="00BF7D7B">
      <w:pPr>
        <w:jc w:val="center"/>
        <w:rPr>
          <w:rFonts w:asciiTheme="majorHAnsi" w:hAnsiTheme="majorHAnsi"/>
          <w:sz w:val="25"/>
          <w:szCs w:val="25"/>
        </w:rPr>
      </w:pPr>
    </w:p>
    <w:p w:rsidR="00BF7D7B" w:rsidRPr="001460F7" w:rsidRDefault="00BF7D7B">
      <w:pPr>
        <w:tabs>
          <w:tab w:val="left" w:pos="0"/>
        </w:tabs>
        <w:jc w:val="center"/>
        <w:rPr>
          <w:rFonts w:asciiTheme="majorHAnsi" w:hAnsiTheme="majorHAnsi"/>
          <w:sz w:val="25"/>
          <w:szCs w:val="25"/>
        </w:rPr>
      </w:pPr>
    </w:p>
    <w:sectPr w:rsidR="00BF7D7B" w:rsidRPr="001460F7" w:rsidSect="001460F7">
      <w:footnotePr>
        <w:pos w:val="beneathText"/>
      </w:footnotePr>
      <w:pgSz w:w="11905" w:h="16837"/>
      <w:pgMar w:top="2155" w:right="851" w:bottom="964" w:left="1021" w:header="720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AAAA+Perpetua-Bold">
    <w:altName w:val="MS Mincho"/>
    <w:charset w:val="00"/>
    <w:family w:val="auto"/>
    <w:pitch w:val="default"/>
    <w:sig w:usb0="00000000" w:usb1="00000000" w:usb2="00000000" w:usb3="00000000" w:csb0="00000000" w:csb1="00000000"/>
  </w:font>
  <w:font w:name="DAAAAA+Perpetua">
    <w:altName w:val="MS Mincho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E01683"/>
    <w:rsid w:val="001460F7"/>
    <w:rsid w:val="009767F2"/>
    <w:rsid w:val="00BF7D7B"/>
    <w:rsid w:val="00E0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D7B"/>
    <w:pPr>
      <w:widowControl w:val="0"/>
      <w:suppressAutoHyphens/>
    </w:pPr>
    <w:rPr>
      <w:rFonts w:ascii="DejaVu Serif" w:eastAsia="DejaVu Sans" w:hAnsi="DejaVu Serif" w:cs="Tahoma"/>
      <w:sz w:val="24"/>
      <w:szCs w:val="24"/>
      <w:lang w:bidi="pt-BR"/>
    </w:rPr>
  </w:style>
  <w:style w:type="paragraph" w:styleId="Ttulo1">
    <w:name w:val="heading 1"/>
    <w:basedOn w:val="Normal"/>
    <w:next w:val="Normal"/>
    <w:qFormat/>
    <w:rsid w:val="00BF7D7B"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BF7D7B"/>
    <w:pPr>
      <w:keepNext/>
      <w:numPr>
        <w:ilvl w:val="1"/>
        <w:numId w:val="1"/>
      </w:numPr>
      <w:ind w:left="708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BF7D7B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5">
    <w:name w:val="heading 5"/>
    <w:basedOn w:val="Normal"/>
    <w:next w:val="Normal"/>
    <w:qFormat/>
    <w:rsid w:val="00BF7D7B"/>
    <w:pPr>
      <w:keepNext/>
      <w:numPr>
        <w:ilvl w:val="4"/>
        <w:numId w:val="1"/>
      </w:numPr>
      <w:jc w:val="center"/>
      <w:outlineLvl w:val="4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BF7D7B"/>
    <w:pPr>
      <w:spacing w:after="120"/>
    </w:pPr>
  </w:style>
  <w:style w:type="paragraph" w:styleId="Recuodecorpodetexto">
    <w:name w:val="Body Text Indent"/>
    <w:basedOn w:val="Normal"/>
    <w:semiHidden/>
    <w:rsid w:val="00BF7D7B"/>
    <w:pPr>
      <w:ind w:left="708"/>
      <w:jc w:val="both"/>
    </w:pPr>
    <w:rPr>
      <w:sz w:val="22"/>
    </w:rPr>
  </w:style>
  <w:style w:type="paragraph" w:customStyle="1" w:styleId="Captulo">
    <w:name w:val="Capítulo"/>
    <w:basedOn w:val="Normal"/>
    <w:next w:val="Corpodetexto"/>
    <w:rsid w:val="00BF7D7B"/>
    <w:pPr>
      <w:keepNext/>
      <w:spacing w:before="240" w:after="120"/>
    </w:pPr>
    <w:rPr>
      <w:rFonts w:ascii="DejaVu Sans" w:eastAsia="Mincho" w:hAnsi="DejaVu Sans"/>
      <w:sz w:val="28"/>
      <w:szCs w:val="28"/>
    </w:rPr>
  </w:style>
  <w:style w:type="paragraph" w:styleId="Lista">
    <w:name w:val="List"/>
    <w:basedOn w:val="Corpodetexto"/>
    <w:semiHidden/>
    <w:rsid w:val="00BF7D7B"/>
  </w:style>
  <w:style w:type="paragraph" w:customStyle="1" w:styleId="Contedodatabela">
    <w:name w:val="Conteúdo da tabela"/>
    <w:basedOn w:val="Normal"/>
    <w:rsid w:val="00BF7D7B"/>
    <w:pPr>
      <w:suppressLineNumbers/>
    </w:pPr>
  </w:style>
  <w:style w:type="paragraph" w:customStyle="1" w:styleId="Legenda1">
    <w:name w:val="Legenda1"/>
    <w:basedOn w:val="Normal"/>
    <w:rsid w:val="00BF7D7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F7D7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2501</Characters>
  <Application>Microsoft Office Word</Application>
  <DocSecurity>0</DocSecurity>
  <Lines>20</Lines>
  <Paragraphs>5</Paragraphs>
  <ScaleCrop>false</ScaleCrop>
  <Company>Microsoft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Dito</dc:creator>
  <cp:lastModifiedBy>Paulo</cp:lastModifiedBy>
  <cp:revision>3</cp:revision>
  <cp:lastPrinted>2017-01-04T16:35:00Z</cp:lastPrinted>
  <dcterms:created xsi:type="dcterms:W3CDTF">2017-01-16T14:26:00Z</dcterms:created>
  <dcterms:modified xsi:type="dcterms:W3CDTF">2017-01-19T16:48:00Z</dcterms:modified>
</cp:coreProperties>
</file>