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844" w:rsidRPr="00B05844" w:rsidRDefault="007D111F" w:rsidP="00B05844">
      <w:pPr>
        <w:tabs>
          <w:tab w:val="left" w:pos="2552"/>
        </w:tabs>
        <w:jc w:val="center"/>
        <w:rPr>
          <w:rFonts w:asciiTheme="majorHAnsi" w:hAnsiTheme="majorHAnsi" w:cs="Arial"/>
          <w:b/>
          <w:bCs/>
          <w:sz w:val="25"/>
          <w:szCs w:val="25"/>
          <w:u w:val="single"/>
          <w:lang w:val="pt-BR" w:bidi="pt-BR"/>
        </w:rPr>
      </w:pPr>
      <w:r>
        <w:rPr>
          <w:rFonts w:asciiTheme="majorHAnsi" w:hAnsiTheme="majorHAnsi" w:cs="Arial"/>
          <w:b/>
          <w:bCs/>
          <w:sz w:val="25"/>
          <w:szCs w:val="25"/>
          <w:u w:val="single"/>
          <w:lang w:val="pt-BR" w:bidi="pt-BR"/>
        </w:rPr>
        <w:t>Autógrafo nº 3136</w:t>
      </w:r>
    </w:p>
    <w:p w:rsidR="00B05844" w:rsidRPr="00B05844" w:rsidRDefault="00B05844" w:rsidP="00B05844">
      <w:pPr>
        <w:ind w:left="2835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ind w:left="2835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spacing w:line="100" w:lineRule="atLeast"/>
        <w:ind w:left="2835"/>
        <w:jc w:val="both"/>
        <w:rPr>
          <w:rFonts w:asciiTheme="majorHAnsi" w:hAnsiTheme="majorHAnsi" w:cs="Arial"/>
          <w:b/>
          <w:bCs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>Dispõe sobre alteração do Anexo I, Quadro Geral de Cargos e empregos públicos permanentes da Prefeitura Municipal de Cordeirópolis, Lei Complementar nº 141, de 30.04.2009, com posteriores alterações, conforme especifica e dá providencias correlatas.</w:t>
      </w:r>
    </w:p>
    <w:p w:rsidR="00B05844" w:rsidRPr="00B05844" w:rsidRDefault="00B05844" w:rsidP="00B05844">
      <w:pPr>
        <w:snapToGrid w:val="0"/>
        <w:ind w:left="4096" w:right="107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Pr="00B05844" w:rsidRDefault="00B05844" w:rsidP="00B05844">
      <w:pPr>
        <w:snapToGrid w:val="0"/>
        <w:ind w:left="4096" w:right="107"/>
        <w:jc w:val="both"/>
        <w:rPr>
          <w:rFonts w:asciiTheme="majorHAnsi" w:hAnsiTheme="majorHAnsi" w:cs="Arial"/>
          <w:b/>
          <w:sz w:val="25"/>
          <w:szCs w:val="25"/>
          <w:lang w:val="pt-BR" w:bidi="pt-BR"/>
        </w:rPr>
      </w:pPr>
    </w:p>
    <w:p w:rsidR="00B05844" w:rsidRDefault="007D111F" w:rsidP="00B05844">
      <w:pPr>
        <w:shd w:val="clear" w:color="auto" w:fill="FFFFFF"/>
        <w:snapToGrid w:val="0"/>
        <w:spacing w:line="100" w:lineRule="atLeast"/>
        <w:ind w:right="-1"/>
        <w:jc w:val="both"/>
        <w:rPr>
          <w:rFonts w:asciiTheme="majorHAnsi" w:hAnsiTheme="majorHAnsi" w:cs="Arial"/>
          <w:sz w:val="25"/>
          <w:szCs w:val="25"/>
          <w:lang w:val="pt-PT" w:bidi="pt-BR"/>
        </w:rPr>
      </w:pPr>
      <w:r>
        <w:rPr>
          <w:rFonts w:asciiTheme="majorHAnsi" w:hAnsiTheme="majorHAnsi" w:cs="Arial"/>
          <w:sz w:val="25"/>
          <w:szCs w:val="25"/>
          <w:lang w:val="pt-PT" w:bidi="pt-BR"/>
        </w:rPr>
        <w:t>A</w:t>
      </w:r>
      <w:r w:rsidR="00B05844" w:rsidRPr="00D56674">
        <w:rPr>
          <w:rFonts w:asciiTheme="majorHAnsi" w:hAnsiTheme="majorHAnsi" w:cs="Arial"/>
          <w:sz w:val="25"/>
          <w:szCs w:val="25"/>
          <w:lang w:val="pt-PT" w:bidi="pt-BR"/>
        </w:rPr>
        <w:t xml:space="preserve"> </w:t>
      </w:r>
      <w:r>
        <w:rPr>
          <w:rFonts w:asciiTheme="majorHAnsi" w:hAnsiTheme="majorHAnsi" w:cs="Arial"/>
          <w:sz w:val="25"/>
          <w:szCs w:val="25"/>
          <w:lang w:val="pt-PT" w:bidi="pt-BR"/>
        </w:rPr>
        <w:t>Câmara Municipal</w:t>
      </w:r>
      <w:r w:rsidRPr="007D111F">
        <w:rPr>
          <w:rFonts w:asciiTheme="majorHAnsi" w:hAnsiTheme="majorHAnsi" w:cs="Arial"/>
          <w:sz w:val="25"/>
          <w:szCs w:val="25"/>
          <w:lang w:val="pt-PT" w:bidi="pt-BR"/>
        </w:rPr>
        <w:t xml:space="preserve"> </w:t>
      </w:r>
      <w:r w:rsidR="00B05844" w:rsidRPr="007D111F">
        <w:rPr>
          <w:rFonts w:asciiTheme="majorHAnsi" w:hAnsiTheme="majorHAnsi" w:cs="Arial"/>
          <w:sz w:val="25"/>
          <w:szCs w:val="25"/>
          <w:lang w:val="pt-PT" w:bidi="pt-BR"/>
        </w:rPr>
        <w:t>de Cordeirópolis</w:t>
      </w:r>
      <w:r>
        <w:rPr>
          <w:rFonts w:asciiTheme="majorHAnsi" w:hAnsiTheme="majorHAnsi" w:cs="Arial"/>
          <w:sz w:val="25"/>
          <w:szCs w:val="25"/>
          <w:lang w:val="pt-PT" w:bidi="pt-BR"/>
        </w:rPr>
        <w:t xml:space="preserve"> decreta: </w:t>
      </w:r>
    </w:p>
    <w:p w:rsidR="007D111F" w:rsidRPr="00D56674" w:rsidRDefault="007D111F" w:rsidP="00B05844">
      <w:pPr>
        <w:shd w:val="clear" w:color="auto" w:fill="FFFFFF"/>
        <w:snapToGrid w:val="0"/>
        <w:spacing w:line="100" w:lineRule="atLeast"/>
        <w:ind w:right="-1"/>
        <w:jc w:val="both"/>
        <w:rPr>
          <w:rFonts w:asciiTheme="majorHAnsi" w:hAnsiTheme="majorHAnsi" w:cs="Arial"/>
          <w:sz w:val="25"/>
          <w:szCs w:val="25"/>
          <w:lang w:val="pt-PT" w:bidi="pt-BR"/>
        </w:rPr>
      </w:pPr>
    </w:p>
    <w:p w:rsidR="00B05844" w:rsidRPr="00B05844" w:rsidRDefault="00B05844" w:rsidP="00B05844">
      <w:pPr>
        <w:snapToGrid w:val="0"/>
        <w:spacing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  <w:r w:rsidRPr="00B05844">
        <w:rPr>
          <w:rFonts w:asciiTheme="majorHAnsi" w:hAnsiTheme="majorHAnsi" w:cs="Arial"/>
          <w:b/>
          <w:bCs/>
          <w:sz w:val="25"/>
          <w:szCs w:val="25"/>
          <w:u w:val="single"/>
          <w:lang w:val="pt-BR" w:bidi="pt-BR"/>
        </w:rPr>
        <w:t>Art. 1º</w:t>
      </w:r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 xml:space="preserve"> – </w:t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 xml:space="preserve">Fica alterado o Anexo I, Quadro Geral de Cargos e empregos públicos permanentes da Prefeitura municipal de Cordeirópolis, da Lei Complementar 141/2009, com posteriores alterações, </w:t>
      </w:r>
      <w:r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>para aumentar 04 (quatro) vagas de Educador Físico</w:t>
      </w:r>
      <w:r w:rsidRPr="00B05844">
        <w:rPr>
          <w:rFonts w:asciiTheme="majorHAnsi" w:hAnsiTheme="majorHAnsi" w:cs="Arial"/>
          <w:sz w:val="25"/>
          <w:szCs w:val="25"/>
          <w:lang w:val="pt-BR" w:bidi="pt-BR"/>
        </w:rPr>
        <w:t>,</w:t>
      </w:r>
      <w:proofErr w:type="gramStart"/>
      <w:r w:rsidRPr="00B05844">
        <w:rPr>
          <w:rFonts w:asciiTheme="majorHAnsi" w:hAnsiTheme="majorHAnsi" w:cs="Arial"/>
          <w:sz w:val="25"/>
          <w:szCs w:val="25"/>
          <w:lang w:val="pt-BR" w:bidi="pt-BR"/>
        </w:rPr>
        <w:t xml:space="preserve">  </w:t>
      </w:r>
      <w:proofErr w:type="gramEnd"/>
      <w:r w:rsidRPr="00B05844">
        <w:rPr>
          <w:rFonts w:asciiTheme="majorHAnsi" w:hAnsiTheme="majorHAnsi" w:cs="Arial"/>
          <w:sz w:val="25"/>
          <w:szCs w:val="25"/>
          <w:lang w:val="pt-BR" w:bidi="pt-BR"/>
        </w:rPr>
        <w:t>conforme quadro abaixo:</w:t>
      </w:r>
    </w:p>
    <w:p w:rsidR="00B05844" w:rsidRPr="00B05844" w:rsidRDefault="00B05844" w:rsidP="00B05844">
      <w:pPr>
        <w:snapToGrid w:val="0"/>
        <w:spacing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</w:p>
    <w:tbl>
      <w:tblPr>
        <w:tblW w:w="9486" w:type="dxa"/>
        <w:tblInd w:w="6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70"/>
        <w:gridCol w:w="1192"/>
        <w:gridCol w:w="430"/>
        <w:gridCol w:w="612"/>
        <w:gridCol w:w="998"/>
        <w:gridCol w:w="722"/>
        <w:gridCol w:w="591"/>
        <w:gridCol w:w="1342"/>
        <w:gridCol w:w="483"/>
        <w:gridCol w:w="643"/>
        <w:gridCol w:w="1140"/>
        <w:gridCol w:w="763"/>
      </w:tblGrid>
      <w:tr w:rsidR="00B05844" w:rsidRPr="00D56674" w:rsidTr="006232A3">
        <w:tc>
          <w:tcPr>
            <w:tcW w:w="4524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center"/>
              <w:rPr>
                <w:rFonts w:asciiTheme="majorHAnsi" w:hAnsiTheme="majorHAnsi" w:cs="Tahoma"/>
                <w:b/>
                <w:bCs/>
                <w:sz w:val="25"/>
                <w:szCs w:val="25"/>
                <w:lang w:bidi="pt-BR"/>
              </w:rPr>
            </w:pPr>
            <w:r w:rsidRPr="00D56674">
              <w:rPr>
                <w:rFonts w:asciiTheme="majorHAnsi" w:hAnsiTheme="majorHAnsi" w:cs="Tahoma"/>
                <w:b/>
                <w:bCs/>
                <w:sz w:val="25"/>
                <w:szCs w:val="25"/>
                <w:lang w:bidi="pt-BR"/>
              </w:rPr>
              <w:t>Situação atual</w:t>
            </w:r>
          </w:p>
        </w:tc>
        <w:tc>
          <w:tcPr>
            <w:tcW w:w="4962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center"/>
              <w:rPr>
                <w:rFonts w:asciiTheme="majorHAnsi" w:hAnsiTheme="majorHAnsi" w:cs="Tahoma"/>
                <w:b/>
                <w:bCs/>
                <w:sz w:val="25"/>
                <w:szCs w:val="25"/>
                <w:lang w:bidi="pt-BR"/>
              </w:rPr>
            </w:pPr>
            <w:r w:rsidRPr="00D56674">
              <w:rPr>
                <w:rFonts w:asciiTheme="majorHAnsi" w:hAnsiTheme="majorHAnsi" w:cs="Tahoma"/>
                <w:b/>
                <w:bCs/>
                <w:sz w:val="25"/>
                <w:szCs w:val="25"/>
                <w:lang w:bidi="pt-BR"/>
              </w:rPr>
              <w:t>Situação nova</w:t>
            </w:r>
          </w:p>
        </w:tc>
      </w:tr>
      <w:tr w:rsidR="00B05844" w:rsidRPr="007D111F" w:rsidTr="006232A3">
        <w:tc>
          <w:tcPr>
            <w:tcW w:w="4524" w:type="dxa"/>
            <w:gridSpan w:val="6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B0584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25"/>
                <w:szCs w:val="25"/>
                <w:lang w:val="pt-BR" w:bidi="pt-BR"/>
              </w:rPr>
            </w:pPr>
            <w:r w:rsidRPr="00B05844">
              <w:rPr>
                <w:rFonts w:asciiTheme="majorHAnsi" w:hAnsiTheme="majorHAnsi" w:cs="Tahoma"/>
                <w:b/>
                <w:bCs/>
                <w:sz w:val="25"/>
                <w:szCs w:val="25"/>
                <w:lang w:val="pt-BR" w:bidi="pt-BR"/>
              </w:rPr>
              <w:t>Secretaria de Esportes e Lazer</w:t>
            </w:r>
          </w:p>
        </w:tc>
        <w:tc>
          <w:tcPr>
            <w:tcW w:w="4962" w:type="dxa"/>
            <w:gridSpan w:val="6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844" w:rsidRPr="00B0584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25"/>
                <w:szCs w:val="25"/>
                <w:lang w:val="pt-BR" w:bidi="pt-BR"/>
              </w:rPr>
            </w:pPr>
            <w:r w:rsidRPr="00B05844">
              <w:rPr>
                <w:rFonts w:asciiTheme="majorHAnsi" w:hAnsiTheme="majorHAnsi" w:cs="Tahoma"/>
                <w:b/>
                <w:bCs/>
                <w:sz w:val="25"/>
                <w:szCs w:val="25"/>
                <w:lang w:val="pt-BR" w:bidi="pt-BR"/>
              </w:rPr>
              <w:t>Secretaria de Esportes e Lazer</w:t>
            </w:r>
          </w:p>
        </w:tc>
      </w:tr>
      <w:tr w:rsidR="00B05844" w:rsidRPr="00D56674" w:rsidTr="006232A3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>Quant</w:t>
            </w:r>
            <w:proofErr w:type="spellEnd"/>
          </w:p>
        </w:tc>
        <w:tc>
          <w:tcPr>
            <w:tcW w:w="119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>Denominação do emprego permanente</w:t>
            </w:r>
          </w:p>
        </w:tc>
        <w:tc>
          <w:tcPr>
            <w:tcW w:w="43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>Ref</w:t>
            </w:r>
            <w:proofErr w:type="spellEnd"/>
          </w:p>
        </w:tc>
        <w:tc>
          <w:tcPr>
            <w:tcW w:w="61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>Natureza</w:t>
            </w:r>
          </w:p>
        </w:tc>
        <w:tc>
          <w:tcPr>
            <w:tcW w:w="998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>Provimento Contratação/ extinção</w:t>
            </w:r>
          </w:p>
        </w:tc>
        <w:tc>
          <w:tcPr>
            <w:tcW w:w="72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>Carga Horária</w:t>
            </w:r>
          </w:p>
        </w:tc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>Quant</w:t>
            </w:r>
            <w:proofErr w:type="spellEnd"/>
          </w:p>
        </w:tc>
        <w:tc>
          <w:tcPr>
            <w:tcW w:w="134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 xml:space="preserve">Denominação do emprego permanente </w:t>
            </w:r>
          </w:p>
        </w:tc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>Ref</w:t>
            </w:r>
            <w:proofErr w:type="spellEnd"/>
          </w:p>
        </w:tc>
        <w:tc>
          <w:tcPr>
            <w:tcW w:w="643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>Natureza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>Provimento Contratação extinção</w:t>
            </w:r>
          </w:p>
        </w:tc>
        <w:tc>
          <w:tcPr>
            <w:tcW w:w="7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>Carga Horária</w:t>
            </w:r>
          </w:p>
        </w:tc>
      </w:tr>
      <w:tr w:rsidR="00B05844" w:rsidRPr="00D56674" w:rsidTr="006232A3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center"/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>05</w:t>
            </w:r>
          </w:p>
        </w:tc>
        <w:tc>
          <w:tcPr>
            <w:tcW w:w="119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Arial"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>Educador</w:t>
            </w:r>
            <w:proofErr w:type="spellEnd"/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 xml:space="preserve"> </w:t>
            </w:r>
            <w:proofErr w:type="spellStart"/>
            <w:r w:rsidRPr="00D56674">
              <w:rPr>
                <w:rFonts w:asciiTheme="majorHAnsi" w:hAnsiTheme="majorHAnsi" w:cs="Arial"/>
                <w:sz w:val="17"/>
                <w:szCs w:val="17"/>
                <w:lang w:bidi="pt-BR"/>
              </w:rPr>
              <w:t>Físico</w:t>
            </w:r>
            <w:proofErr w:type="spellEnd"/>
          </w:p>
        </w:tc>
        <w:tc>
          <w:tcPr>
            <w:tcW w:w="43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>05</w:t>
            </w:r>
          </w:p>
        </w:tc>
        <w:tc>
          <w:tcPr>
            <w:tcW w:w="61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>Permanente</w:t>
            </w:r>
          </w:p>
        </w:tc>
        <w:tc>
          <w:tcPr>
            <w:tcW w:w="998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>Concurso</w:t>
            </w:r>
            <w:proofErr w:type="spellEnd"/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 xml:space="preserve"> </w:t>
            </w:r>
            <w:proofErr w:type="spellStart"/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>Público</w:t>
            </w:r>
            <w:proofErr w:type="spellEnd"/>
          </w:p>
        </w:tc>
        <w:tc>
          <w:tcPr>
            <w:tcW w:w="72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sz w:val="17"/>
                <w:szCs w:val="17"/>
                <w:lang w:bidi="pt-BR"/>
              </w:rPr>
              <w:t>30 h</w:t>
            </w:r>
          </w:p>
        </w:tc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pStyle w:val="Contedodatabela"/>
              <w:snapToGrid w:val="0"/>
              <w:jc w:val="both"/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>09</w:t>
            </w:r>
          </w:p>
        </w:tc>
        <w:tc>
          <w:tcPr>
            <w:tcW w:w="1342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>Educador</w:t>
            </w:r>
            <w:proofErr w:type="spellEnd"/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 xml:space="preserve"> </w:t>
            </w:r>
            <w:proofErr w:type="spellStart"/>
            <w:r w:rsidRPr="00D56674">
              <w:rPr>
                <w:rFonts w:asciiTheme="majorHAnsi" w:hAnsiTheme="majorHAnsi" w:cs="Arial"/>
                <w:b/>
                <w:bCs/>
                <w:sz w:val="17"/>
                <w:szCs w:val="17"/>
                <w:lang w:bidi="pt-BR"/>
              </w:rPr>
              <w:t>Físico</w:t>
            </w:r>
            <w:proofErr w:type="spellEnd"/>
          </w:p>
        </w:tc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>05</w:t>
            </w:r>
          </w:p>
        </w:tc>
        <w:tc>
          <w:tcPr>
            <w:tcW w:w="643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>Permanente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</w:pPr>
            <w:proofErr w:type="spellStart"/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>Concurso</w:t>
            </w:r>
            <w:proofErr w:type="spellEnd"/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 xml:space="preserve"> </w:t>
            </w:r>
            <w:proofErr w:type="spellStart"/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>Público</w:t>
            </w:r>
            <w:proofErr w:type="spellEnd"/>
          </w:p>
        </w:tc>
        <w:tc>
          <w:tcPr>
            <w:tcW w:w="7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05844" w:rsidRPr="00D56674" w:rsidRDefault="00B05844" w:rsidP="006232A3">
            <w:pPr>
              <w:snapToGrid w:val="0"/>
              <w:jc w:val="center"/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</w:pPr>
            <w:r w:rsidRPr="00D56674">
              <w:rPr>
                <w:rFonts w:asciiTheme="majorHAnsi" w:hAnsiTheme="majorHAnsi" w:cs="Tahoma"/>
                <w:b/>
                <w:bCs/>
                <w:sz w:val="17"/>
                <w:szCs w:val="17"/>
                <w:lang w:bidi="pt-BR"/>
              </w:rPr>
              <w:t>30 h</w:t>
            </w:r>
          </w:p>
        </w:tc>
      </w:tr>
    </w:tbl>
    <w:p w:rsidR="00B05844" w:rsidRPr="00D56674" w:rsidRDefault="00B05844" w:rsidP="00B05844">
      <w:pPr>
        <w:snapToGrid w:val="0"/>
        <w:jc w:val="both"/>
        <w:rPr>
          <w:rFonts w:asciiTheme="majorHAnsi" w:hAnsiTheme="majorHAnsi"/>
          <w:sz w:val="25"/>
          <w:szCs w:val="25"/>
        </w:rPr>
      </w:pPr>
    </w:p>
    <w:p w:rsidR="00B05844" w:rsidRPr="00B05844" w:rsidRDefault="00B05844" w:rsidP="00B05844">
      <w:pPr>
        <w:snapToGrid w:val="0"/>
        <w:jc w:val="both"/>
        <w:rPr>
          <w:rFonts w:asciiTheme="majorHAnsi" w:hAnsiTheme="majorHAnsi" w:cs="Tahoma"/>
          <w:sz w:val="25"/>
          <w:szCs w:val="25"/>
          <w:lang w:val="pt-BR" w:bidi="pt-BR"/>
        </w:rPr>
      </w:pPr>
      <w:r w:rsidRPr="00B05844">
        <w:rPr>
          <w:rFonts w:asciiTheme="majorHAnsi" w:hAnsiTheme="majorHAnsi" w:cs="Tahoma"/>
          <w:b/>
          <w:bCs/>
          <w:sz w:val="25"/>
          <w:szCs w:val="25"/>
          <w:u w:val="single"/>
          <w:lang w:val="pt-BR" w:bidi="pt-BR"/>
        </w:rPr>
        <w:t>Art. 2º</w:t>
      </w:r>
      <w:r w:rsidRPr="00B05844">
        <w:rPr>
          <w:rFonts w:asciiTheme="majorHAnsi" w:hAnsiTheme="majorHAnsi" w:cs="Tahoma"/>
          <w:sz w:val="25"/>
          <w:szCs w:val="25"/>
          <w:lang w:val="pt-BR" w:bidi="pt-BR"/>
        </w:rPr>
        <w:t xml:space="preserve"> – As despesas para execução desta lei complementar estão previstas no orçamento e serão suplementadas, inclusive através de Decreto do Executivo.</w:t>
      </w:r>
    </w:p>
    <w:p w:rsidR="00B05844" w:rsidRPr="00B05844" w:rsidRDefault="00B05844" w:rsidP="00B05844">
      <w:pPr>
        <w:snapToGrid w:val="0"/>
        <w:jc w:val="both"/>
        <w:rPr>
          <w:rFonts w:asciiTheme="majorHAnsi" w:hAnsiTheme="majorHAnsi" w:cs="Tahoma"/>
          <w:sz w:val="25"/>
          <w:szCs w:val="25"/>
          <w:lang w:val="pt-BR" w:bidi="pt-BR"/>
        </w:rPr>
      </w:pPr>
    </w:p>
    <w:p w:rsidR="00B05844" w:rsidRPr="00B05844" w:rsidRDefault="00B05844" w:rsidP="00B05844">
      <w:pPr>
        <w:snapToGrid w:val="0"/>
        <w:jc w:val="both"/>
        <w:rPr>
          <w:rFonts w:asciiTheme="majorHAnsi" w:hAnsiTheme="majorHAnsi" w:cs="Tahoma"/>
          <w:sz w:val="25"/>
          <w:szCs w:val="25"/>
          <w:lang w:val="pt-BR" w:bidi="pt-BR"/>
        </w:rPr>
      </w:pPr>
      <w:r w:rsidRPr="00B05844">
        <w:rPr>
          <w:rFonts w:asciiTheme="majorHAnsi" w:hAnsiTheme="majorHAnsi" w:cs="Tahoma"/>
          <w:b/>
          <w:bCs/>
          <w:sz w:val="25"/>
          <w:szCs w:val="25"/>
          <w:u w:val="single"/>
          <w:lang w:val="pt-BR" w:bidi="pt-BR"/>
        </w:rPr>
        <w:t>Art. 3º</w:t>
      </w:r>
      <w:r w:rsidRPr="00B05844">
        <w:rPr>
          <w:rFonts w:asciiTheme="majorHAnsi" w:hAnsiTheme="majorHAnsi" w:cs="Tahoma"/>
          <w:sz w:val="25"/>
          <w:szCs w:val="25"/>
          <w:lang w:val="pt-BR" w:bidi="pt-BR"/>
        </w:rPr>
        <w:t xml:space="preserve"> – Esta Lei Complementar entra em vigor na data de sua publicação, revogadas as disposições em contrário.</w:t>
      </w:r>
    </w:p>
    <w:p w:rsidR="00B05844" w:rsidRPr="00B05844" w:rsidRDefault="00B05844" w:rsidP="00B05844">
      <w:pPr>
        <w:spacing w:line="360" w:lineRule="auto"/>
        <w:jc w:val="right"/>
        <w:rPr>
          <w:rFonts w:asciiTheme="majorHAnsi" w:hAnsiTheme="majorHAnsi" w:cs="Arial"/>
          <w:sz w:val="25"/>
          <w:szCs w:val="25"/>
          <w:lang w:val="pt-BR" w:bidi="pt-BR"/>
        </w:rPr>
      </w:pPr>
    </w:p>
    <w:p w:rsidR="007D111F" w:rsidRDefault="007D111F" w:rsidP="007D111F">
      <w:pPr>
        <w:spacing w:line="100" w:lineRule="atLeast"/>
        <w:jc w:val="center"/>
        <w:rPr>
          <w:rFonts w:asciiTheme="majorHAnsi" w:hAnsiTheme="majorHAnsi" w:cs="Arial"/>
          <w:sz w:val="25"/>
          <w:szCs w:val="25"/>
          <w:lang w:val="pt-BR" w:bidi="pt-BR"/>
        </w:rPr>
      </w:pPr>
      <w:r w:rsidRPr="007D111F">
        <w:rPr>
          <w:rFonts w:asciiTheme="majorHAnsi" w:hAnsiTheme="majorHAnsi" w:cs="Arial"/>
          <w:bCs/>
          <w:sz w:val="25"/>
          <w:szCs w:val="25"/>
          <w:lang w:val="pt-BR" w:bidi="pt-BR"/>
        </w:rPr>
        <w:t xml:space="preserve">Câmara Municipal de </w:t>
      </w:r>
      <w:r w:rsidR="00B05844" w:rsidRPr="007D111F">
        <w:rPr>
          <w:rFonts w:asciiTheme="majorHAnsi" w:hAnsiTheme="majorHAnsi" w:cs="Arial"/>
          <w:bCs/>
          <w:sz w:val="25"/>
          <w:szCs w:val="25"/>
          <w:lang w:val="pt-BR" w:bidi="pt-BR"/>
        </w:rPr>
        <w:t>Cordeirópolis</w:t>
      </w:r>
      <w:r w:rsidR="00B05844" w:rsidRPr="00B05844">
        <w:rPr>
          <w:rFonts w:asciiTheme="majorHAnsi" w:hAnsiTheme="majorHAnsi" w:cs="Arial"/>
          <w:b/>
          <w:bCs/>
          <w:sz w:val="25"/>
          <w:szCs w:val="25"/>
          <w:lang w:val="pt-BR" w:bidi="pt-BR"/>
        </w:rPr>
        <w:t>,</w:t>
      </w:r>
      <w:r w:rsidR="00B05844" w:rsidRPr="00B05844">
        <w:rPr>
          <w:rFonts w:asciiTheme="majorHAnsi" w:hAnsiTheme="majorHAnsi" w:cs="Arial"/>
          <w:sz w:val="25"/>
          <w:szCs w:val="25"/>
          <w:lang w:val="pt-BR" w:bidi="pt-BR"/>
        </w:rPr>
        <w:t xml:space="preserve"> aos </w:t>
      </w:r>
      <w:r>
        <w:rPr>
          <w:rFonts w:asciiTheme="majorHAnsi" w:hAnsiTheme="majorHAnsi" w:cs="Arial"/>
          <w:sz w:val="25"/>
          <w:szCs w:val="25"/>
          <w:lang w:val="pt-BR" w:bidi="pt-BR"/>
        </w:rPr>
        <w:t xml:space="preserve">30 </w:t>
      </w:r>
      <w:r w:rsidR="00B05844" w:rsidRPr="00B05844">
        <w:rPr>
          <w:rFonts w:asciiTheme="majorHAnsi" w:hAnsiTheme="majorHAnsi" w:cs="Arial"/>
          <w:sz w:val="25"/>
          <w:szCs w:val="25"/>
          <w:lang w:val="pt-BR" w:bidi="pt-BR"/>
        </w:rPr>
        <w:t>de outubro de 2013</w:t>
      </w:r>
      <w:r>
        <w:rPr>
          <w:rFonts w:asciiTheme="majorHAnsi" w:hAnsiTheme="majorHAnsi" w:cs="Arial"/>
          <w:sz w:val="25"/>
          <w:szCs w:val="25"/>
          <w:lang w:val="pt-BR" w:bidi="pt-BR"/>
        </w:rPr>
        <w:t>.</w:t>
      </w:r>
    </w:p>
    <w:p w:rsidR="007D111F" w:rsidRDefault="007D111F" w:rsidP="007D111F">
      <w:pPr>
        <w:spacing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</w:p>
    <w:p w:rsidR="007D111F" w:rsidRDefault="007D111F" w:rsidP="007D111F">
      <w:pPr>
        <w:spacing w:line="100" w:lineRule="atLeast"/>
        <w:jc w:val="both"/>
        <w:rPr>
          <w:rFonts w:asciiTheme="majorHAnsi" w:hAnsiTheme="majorHAnsi" w:cs="Arial"/>
          <w:sz w:val="25"/>
          <w:szCs w:val="25"/>
          <w:lang w:val="pt-BR" w:bidi="pt-BR"/>
        </w:rPr>
      </w:pPr>
    </w:p>
    <w:p w:rsidR="007D111F" w:rsidRDefault="007D111F" w:rsidP="007D111F">
      <w:pPr>
        <w:jc w:val="center"/>
        <w:rPr>
          <w:rFonts w:ascii="Cambria" w:hAnsi="Cambria" w:cs="Arial"/>
          <w:sz w:val="24"/>
          <w:szCs w:val="24"/>
        </w:rPr>
      </w:pPr>
    </w:p>
    <w:p w:rsidR="007D111F" w:rsidRPr="007D111F" w:rsidRDefault="007D111F" w:rsidP="007D111F">
      <w:pPr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7D111F">
        <w:rPr>
          <w:rFonts w:ascii="Cambria" w:hAnsi="Cambria" w:cs="Arial"/>
          <w:b/>
          <w:sz w:val="24"/>
          <w:szCs w:val="24"/>
          <w:lang w:val="pt-BR"/>
        </w:rPr>
        <w:t xml:space="preserve">José Geraldo </w:t>
      </w:r>
      <w:proofErr w:type="spellStart"/>
      <w:r w:rsidRPr="007D111F">
        <w:rPr>
          <w:rFonts w:ascii="Cambria" w:hAnsi="Cambria" w:cs="Arial"/>
          <w:b/>
          <w:sz w:val="24"/>
          <w:szCs w:val="24"/>
          <w:lang w:val="pt-BR"/>
        </w:rPr>
        <w:t>Botion</w:t>
      </w:r>
      <w:proofErr w:type="spellEnd"/>
    </w:p>
    <w:p w:rsidR="007D111F" w:rsidRPr="007D111F" w:rsidRDefault="007D111F" w:rsidP="007D111F">
      <w:pPr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7D111F">
        <w:rPr>
          <w:rFonts w:ascii="Cambria" w:hAnsi="Cambria" w:cs="Arial"/>
          <w:b/>
          <w:sz w:val="24"/>
          <w:szCs w:val="24"/>
          <w:lang w:val="pt-BR"/>
        </w:rPr>
        <w:t>Presidente</w:t>
      </w:r>
    </w:p>
    <w:p w:rsidR="007D111F" w:rsidRPr="007D111F" w:rsidRDefault="007D111F" w:rsidP="007D111F">
      <w:pPr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:rsidR="007D111F" w:rsidRPr="007D111F" w:rsidRDefault="007D111F" w:rsidP="007D111F">
      <w:pPr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 xml:space="preserve">           </w:t>
      </w:r>
      <w:r w:rsidRPr="007D111F">
        <w:rPr>
          <w:rFonts w:ascii="Cambria" w:hAnsi="Cambria" w:cs="Arial"/>
          <w:b/>
          <w:sz w:val="24"/>
          <w:szCs w:val="24"/>
          <w:lang w:val="pt-BR"/>
        </w:rPr>
        <w:tab/>
        <w:t xml:space="preserve">David </w:t>
      </w:r>
      <w:proofErr w:type="spellStart"/>
      <w:r w:rsidRPr="007D111F">
        <w:rPr>
          <w:rFonts w:ascii="Cambria" w:hAnsi="Cambria" w:cs="Arial"/>
          <w:b/>
          <w:sz w:val="24"/>
          <w:szCs w:val="24"/>
          <w:lang w:val="pt-BR"/>
        </w:rPr>
        <w:t>Bertanha</w:t>
      </w:r>
      <w:proofErr w:type="spellEnd"/>
      <w:r w:rsidRPr="007D111F">
        <w:rPr>
          <w:rFonts w:ascii="Cambria" w:hAnsi="Cambria" w:cs="Arial"/>
          <w:b/>
          <w:sz w:val="24"/>
          <w:szCs w:val="24"/>
          <w:lang w:val="pt-BR"/>
        </w:rPr>
        <w:tab/>
      </w:r>
      <w:r w:rsidRPr="007D111F">
        <w:rPr>
          <w:rFonts w:ascii="Cambria" w:hAnsi="Cambria" w:cs="Arial"/>
          <w:b/>
          <w:sz w:val="24"/>
          <w:szCs w:val="24"/>
          <w:lang w:val="pt-BR"/>
        </w:rPr>
        <w:tab/>
      </w:r>
      <w:r w:rsidRPr="007D111F">
        <w:rPr>
          <w:rFonts w:ascii="Cambria" w:hAnsi="Cambria" w:cs="Arial"/>
          <w:b/>
          <w:sz w:val="24"/>
          <w:szCs w:val="24"/>
          <w:lang w:val="pt-BR"/>
        </w:rPr>
        <w:tab/>
      </w:r>
      <w:r w:rsidRPr="007D111F">
        <w:rPr>
          <w:rFonts w:ascii="Cambria" w:hAnsi="Cambria" w:cs="Arial"/>
          <w:b/>
          <w:sz w:val="24"/>
          <w:szCs w:val="24"/>
          <w:lang w:val="pt-BR"/>
        </w:rPr>
        <w:tab/>
        <w:t xml:space="preserve">               Alceu da Silva Guimarães</w:t>
      </w:r>
    </w:p>
    <w:p w:rsidR="007D111F" w:rsidRPr="0029138B" w:rsidRDefault="007D111F" w:rsidP="007D111F">
      <w:pPr>
        <w:jc w:val="center"/>
        <w:rPr>
          <w:rFonts w:ascii="Cambria" w:hAnsi="Cambria" w:cs="Arial"/>
          <w:sz w:val="24"/>
          <w:szCs w:val="24"/>
        </w:rPr>
      </w:pPr>
      <w:r w:rsidRPr="007D111F">
        <w:rPr>
          <w:rFonts w:ascii="Cambria" w:hAnsi="Cambria" w:cs="Arial"/>
          <w:b/>
          <w:sz w:val="24"/>
          <w:szCs w:val="24"/>
          <w:lang w:val="pt-BR"/>
        </w:rPr>
        <w:t xml:space="preserve"> </w:t>
      </w:r>
      <w:r>
        <w:rPr>
          <w:rFonts w:ascii="Cambria" w:hAnsi="Cambria" w:cs="Arial"/>
          <w:b/>
          <w:sz w:val="24"/>
          <w:szCs w:val="24"/>
        </w:rPr>
        <w:t xml:space="preserve">1º </w:t>
      </w:r>
      <w:proofErr w:type="spellStart"/>
      <w:r>
        <w:rPr>
          <w:rFonts w:ascii="Cambria" w:hAnsi="Cambria" w:cs="Arial"/>
          <w:b/>
          <w:sz w:val="24"/>
          <w:szCs w:val="24"/>
        </w:rPr>
        <w:t>Secretário</w:t>
      </w:r>
      <w:proofErr w:type="spellEnd"/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</w:r>
      <w:r>
        <w:rPr>
          <w:rFonts w:ascii="Cambria" w:hAnsi="Cambria" w:cs="Arial"/>
          <w:b/>
          <w:sz w:val="24"/>
          <w:szCs w:val="24"/>
        </w:rPr>
        <w:tab/>
        <w:t xml:space="preserve">2º </w:t>
      </w:r>
      <w:proofErr w:type="spellStart"/>
      <w:r>
        <w:rPr>
          <w:rFonts w:ascii="Cambria" w:hAnsi="Cambria" w:cs="Arial"/>
          <w:b/>
          <w:sz w:val="24"/>
          <w:szCs w:val="24"/>
        </w:rPr>
        <w:t>Secretário</w:t>
      </w:r>
      <w:proofErr w:type="spellEnd"/>
    </w:p>
    <w:sectPr w:rsidR="007D111F" w:rsidRPr="0029138B" w:rsidSect="00D56674">
      <w:footnotePr>
        <w:pos w:val="beneathText"/>
      </w:footnotePr>
      <w:pgSz w:w="11905" w:h="16837"/>
      <w:pgMar w:top="2835" w:right="1418" w:bottom="1418" w:left="1418" w:header="720" w:footer="90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pos w:val="beneathText"/>
  </w:footnotePr>
  <w:endnotePr>
    <w:pos w:val="sectEnd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5844"/>
    <w:rsid w:val="00793597"/>
    <w:rsid w:val="007D111F"/>
    <w:rsid w:val="00B05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S Sans Serif" w:eastAsia="Times New Roman" w:hAnsi="MS Sans Serif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59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05844"/>
    <w:pPr>
      <w:widowControl w:val="0"/>
      <w:suppressAutoHyphens/>
      <w:overflowPunct/>
      <w:autoSpaceDE/>
      <w:autoSpaceDN/>
      <w:adjustRightInd/>
      <w:spacing w:after="120"/>
      <w:textAlignment w:val="auto"/>
    </w:pPr>
    <w:rPr>
      <w:rFonts w:ascii="DejaVu Serif" w:eastAsia="DejaVu Sans" w:hAnsi="DejaVu Serif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rsid w:val="00B05844"/>
    <w:rPr>
      <w:rFonts w:ascii="DejaVu Serif" w:eastAsia="DejaVu Sans" w:hAnsi="DejaVu Serif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B05844"/>
    <w:pPr>
      <w:widowControl w:val="0"/>
      <w:suppressAutoHyphens/>
      <w:overflowPunct/>
      <w:autoSpaceDE/>
      <w:autoSpaceDN/>
      <w:adjustRightInd/>
      <w:ind w:left="708"/>
      <w:jc w:val="both"/>
      <w:textAlignment w:val="auto"/>
    </w:pPr>
    <w:rPr>
      <w:rFonts w:ascii="DejaVu Serif" w:eastAsia="DejaVu Sans" w:hAnsi="DejaVu Serif"/>
      <w:sz w:val="22"/>
      <w:szCs w:val="24"/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rsid w:val="00B05844"/>
    <w:rPr>
      <w:rFonts w:ascii="DejaVu Serif" w:eastAsia="DejaVu Sans" w:hAnsi="DejaVu Serif"/>
      <w:sz w:val="22"/>
      <w:szCs w:val="24"/>
    </w:rPr>
  </w:style>
  <w:style w:type="paragraph" w:customStyle="1" w:styleId="Contedodatabela">
    <w:name w:val="Conteúdo da tabela"/>
    <w:basedOn w:val="Normal"/>
    <w:rsid w:val="00B05844"/>
    <w:pPr>
      <w:widowControl w:val="0"/>
      <w:suppressLineNumbers/>
      <w:suppressAutoHyphens/>
      <w:overflowPunct/>
      <w:autoSpaceDE/>
      <w:autoSpaceDN/>
      <w:adjustRightInd/>
      <w:textAlignment w:val="auto"/>
    </w:pPr>
    <w:rPr>
      <w:rFonts w:ascii="DejaVu Serif" w:eastAsia="DejaVu Sans" w:hAnsi="DejaVu Serif"/>
      <w:sz w:val="24"/>
      <w:szCs w:val="24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/>
      </vt:variant>
      <vt:variant>
        <vt:i4>0</vt:i4>
      </vt:variant>
    </vt:vector>
  </HeadingPairs>
  <Company>Câmara Munic. Cordeirópolis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anapaula</cp:lastModifiedBy>
  <cp:revision>6</cp:revision>
  <dcterms:created xsi:type="dcterms:W3CDTF">1997-12-09T19:42:00Z</dcterms:created>
  <dcterms:modified xsi:type="dcterms:W3CDTF">2013-10-30T14:40:00Z</dcterms:modified>
</cp:coreProperties>
</file>