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50/2025</w:t>
      </w:r>
      <w:r>
        <w:tab/>
      </w:r>
    </w:p>
    <w:p w:rsidR="00C411C5" w:rsidRPr="00B82AFC" w:rsidP="00B82AFC" w14:paraId="08ABBEE5" w14:textId="52CE6432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4C4226">
        <w:rPr>
          <w:rFonts w:asciiTheme="majorHAnsi" w:hAnsiTheme="majorHAnsi"/>
          <w:b/>
          <w:sz w:val="24"/>
          <w:szCs w:val="24"/>
        </w:rPr>
        <w:t>Lei</w:t>
      </w:r>
      <w:r w:rsidR="00BE6D92">
        <w:rPr>
          <w:rFonts w:asciiTheme="majorHAnsi" w:hAnsiTheme="majorHAnsi"/>
          <w:b/>
          <w:sz w:val="24"/>
          <w:szCs w:val="24"/>
        </w:rPr>
        <w:t xml:space="preserve"> </w:t>
      </w:r>
      <w:r w:rsidRPr="004C4226" w:rsidR="004C4226">
        <w:rPr>
          <w:rFonts w:asciiTheme="majorHAnsi" w:hAnsiTheme="majorHAnsi"/>
          <w:b/>
          <w:sz w:val="24"/>
          <w:szCs w:val="24"/>
        </w:rPr>
        <w:t>i nº 50/2025</w:t>
      </w:r>
      <w:r w:rsidR="004C4226">
        <w:rPr>
          <w:rFonts w:asciiTheme="majorHAnsi" w:hAnsiTheme="majorHAnsi"/>
          <w:b/>
          <w:sz w:val="24"/>
          <w:szCs w:val="24"/>
        </w:rPr>
        <w:t>.</w:t>
      </w:r>
    </w:p>
    <w:p w:rsidR="00B82AFC" w:rsidRPr="00B82AFC" w:rsidP="00B82AFC" w14:paraId="48F5D652" w14:textId="52E6ADCD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455453">
        <w:rPr>
          <w:rFonts w:asciiTheme="majorHAnsi" w:hAnsiTheme="majorHAnsi"/>
          <w:b/>
          <w:sz w:val="24"/>
          <w:szCs w:val="24"/>
        </w:rPr>
        <w:t>Vereador</w:t>
      </w:r>
      <w:r w:rsidRPr="00BE6D92" w:rsidR="00BE6D92">
        <w:rPr>
          <w:rFonts w:asciiTheme="majorHAnsi" w:hAnsiTheme="majorHAnsi"/>
          <w:b/>
          <w:sz w:val="24"/>
          <w:szCs w:val="24"/>
        </w:rPr>
        <w:t xml:space="preserve"> Diego Fabiano de Oliveir</w:t>
      </w:r>
      <w:r w:rsidR="00BE6D92">
        <w:rPr>
          <w:rFonts w:asciiTheme="majorHAnsi" w:hAnsiTheme="majorHAnsi"/>
          <w:b/>
          <w:sz w:val="24"/>
          <w:szCs w:val="24"/>
        </w:rPr>
        <w:t>a.</w:t>
      </w:r>
    </w:p>
    <w:p w:rsidR="004C4226" w:rsidP="00455453" w14:paraId="270B094D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4C4226">
        <w:rPr>
          <w:rFonts w:eastAsia="Arial" w:asciiTheme="majorHAnsi" w:hAnsiTheme="majorHAnsi" w:cs="Arial"/>
          <w:bCs/>
          <w:sz w:val="24"/>
          <w:szCs w:val="24"/>
        </w:rPr>
        <w:t>Projeto de Lei n° 50/2025, que “Institui a Política Municipal de Promoção e Cuidado à Saúde Mental dos Profissionais da Rede Pública Municipal de Educação de Cordeirópolis e dá outras providências”. Admissibilidade. Competência legitima comum. Disposições reconhecidas pelo inciso I, do art. 30 da CF/88 c/c o inciso I, do art. 189, da LOM. Legitimidade em sua propositura. Discricionariedade política administrativa. Desenvolvimento no âmbito local de parâmetros legais para a formulação de políticas públicas Inexistência de lesão a regra ou princípio constitucional. Norma de natureza programática. Inexistência de vício de inciativa.</w:t>
      </w:r>
    </w:p>
    <w:p w:rsidR="00990106" w:rsidRPr="00B82AFC" w:rsidP="00455453" w14:paraId="0F27AC50" w14:textId="1A5AC382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4C4226" w:rsidP="004B51A8" w14:paraId="330389A7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>
        <w:rPr>
          <w:rFonts w:ascii="Cambria" w:hAnsi="Cambria" w:cs="Arial"/>
          <w:sz w:val="24"/>
          <w:szCs w:val="24"/>
        </w:rPr>
        <w:t>o,</w:t>
      </w:r>
      <w:r w:rsidRPr="00BE6D92" w:rsidR="00BE6D92">
        <w:rPr>
          <w:rFonts w:ascii="Cambria" w:hAnsi="Cambria" w:cs="Arial"/>
          <w:sz w:val="24"/>
          <w:szCs w:val="24"/>
        </w:rPr>
        <w:t xml:space="preserve"> </w:t>
      </w:r>
      <w:r w:rsidRPr="004C4226">
        <w:rPr>
          <w:rFonts w:ascii="Cambria" w:hAnsi="Cambria" w:cs="Arial"/>
          <w:sz w:val="24"/>
          <w:szCs w:val="24"/>
        </w:rPr>
        <w:t>Projeto de Lei n° 50/2025, que “Institui a Política Municipal de Promoção e Cuidado à Saúde Mental dos Profissionais da Rede Pública Municipal de Educação de Cordeirópolis e dá outras providências”. Admissibilidade. Competência legitima comum. Disposições reconhecidas pelo inciso I, do art. 30 da CF/88 c/c o inciso I, do art. 189, da LOM. Legitimidade em sua propositura. Discricionariedade política administrativa. Desenvolvimento no âmbito local de parâmetros legais para a formulação de políticas públicas Inexistência de lesão a regra ou princípio constitucional. Norma de natureza programática. Inexistência de vício de inciativa.</w:t>
      </w:r>
    </w:p>
    <w:p w:rsidR="004C4226" w:rsidP="004B51A8" w14:paraId="7462482F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29C48D0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47829B4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C4226">
        <w:rPr>
          <w:rFonts w:ascii="Cambria" w:hAnsi="Cambria" w:cs="Arial"/>
          <w:sz w:val="25"/>
          <w:szCs w:val="25"/>
        </w:rPr>
        <w:t>2</w:t>
      </w:r>
      <w:r w:rsidR="00586BED">
        <w:rPr>
          <w:rFonts w:ascii="Cambria" w:hAnsi="Cambria" w:cs="Arial"/>
          <w:sz w:val="25"/>
          <w:szCs w:val="25"/>
        </w:rPr>
        <w:t>4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C4226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23215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4527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5177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C4226"/>
    <w:rsid w:val="004E67F0"/>
    <w:rsid w:val="004E6C2A"/>
    <w:rsid w:val="00577103"/>
    <w:rsid w:val="00586BED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538E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2025-10-24T14:06:38Z</cp:lastPrinted>
  <dcterms:created xsi:type="dcterms:W3CDTF">2025-10-24T14:04:00Z</dcterms:created>
  <dcterms:modified xsi:type="dcterms:W3CDTF">2025-10-24T14:04:00Z</dcterms:modified>
</cp:coreProperties>
</file>