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424A" w:rsidRPr="00D412F5" w:rsidP="00955EE4" w14:paraId="51715A4A" w14:textId="3132FFD2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D412F5">
        <w:rPr>
          <w:rFonts w:asciiTheme="majorHAnsi" w:hAnsiTheme="majorHAnsi"/>
          <w:b/>
          <w:sz w:val="24"/>
          <w:szCs w:val="24"/>
        </w:rPr>
        <w:t>PARECER Nº 2/2025 AO PROJETO DE LEI Nº 23/2025</w:t>
      </w:r>
      <w:r w:rsidRPr="00D412F5">
        <w:rPr>
          <w:rFonts w:asciiTheme="majorHAnsi" w:hAnsiTheme="majorHAnsi"/>
          <w:b/>
          <w:sz w:val="24"/>
          <w:szCs w:val="24"/>
        </w:rPr>
        <w:t>Projeto de</w:t>
      </w:r>
      <w:r w:rsidRPr="00D412F5" w:rsidR="009D4B2C">
        <w:rPr>
          <w:rFonts w:asciiTheme="majorHAnsi" w:hAnsiTheme="majorHAnsi"/>
          <w:b/>
          <w:sz w:val="24"/>
          <w:szCs w:val="24"/>
        </w:rPr>
        <w:t xml:space="preserve"> Lei</w:t>
      </w:r>
      <w:r w:rsidR="00B00BCC">
        <w:rPr>
          <w:rFonts w:asciiTheme="majorHAnsi" w:hAnsiTheme="majorHAnsi"/>
          <w:b/>
          <w:sz w:val="24"/>
          <w:szCs w:val="24"/>
        </w:rPr>
        <w:t xml:space="preserve"> </w:t>
      </w:r>
      <w:r w:rsidRPr="00D412F5" w:rsidR="00A958EB">
        <w:rPr>
          <w:rFonts w:asciiTheme="majorHAnsi" w:hAnsiTheme="majorHAnsi"/>
          <w:b/>
          <w:sz w:val="24"/>
          <w:szCs w:val="24"/>
        </w:rPr>
        <w:t>n</w:t>
      </w:r>
      <w:r w:rsidR="00D412F5">
        <w:rPr>
          <w:rFonts w:asciiTheme="majorHAnsi" w:hAnsiTheme="majorHAnsi"/>
          <w:b/>
          <w:sz w:val="24"/>
          <w:szCs w:val="24"/>
        </w:rPr>
        <w:t>° 2</w:t>
      </w:r>
      <w:r w:rsidR="00B00BCC">
        <w:rPr>
          <w:rFonts w:asciiTheme="majorHAnsi" w:hAnsiTheme="majorHAnsi"/>
          <w:b/>
          <w:sz w:val="24"/>
          <w:szCs w:val="24"/>
        </w:rPr>
        <w:t>3</w:t>
      </w:r>
      <w:r w:rsidR="00D412F5">
        <w:rPr>
          <w:rFonts w:asciiTheme="majorHAnsi" w:hAnsiTheme="majorHAnsi"/>
          <w:b/>
          <w:sz w:val="24"/>
          <w:szCs w:val="24"/>
        </w:rPr>
        <w:t>/202</w:t>
      </w:r>
      <w:r w:rsidR="00B00BCC">
        <w:rPr>
          <w:rFonts w:asciiTheme="majorHAnsi" w:hAnsiTheme="majorHAnsi"/>
          <w:b/>
          <w:sz w:val="24"/>
          <w:szCs w:val="24"/>
        </w:rPr>
        <w:t>5</w:t>
      </w:r>
    </w:p>
    <w:p w:rsidR="0065424A" w:rsidRPr="00D412F5" w:rsidP="00955EE4" w14:paraId="04A1A65C" w14:textId="127EEA8E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D412F5">
        <w:rPr>
          <w:rFonts w:asciiTheme="majorHAnsi" w:hAnsiTheme="majorHAnsi"/>
          <w:b/>
          <w:sz w:val="24"/>
          <w:szCs w:val="24"/>
        </w:rPr>
        <w:t>Autoria: Prefeit</w:t>
      </w:r>
      <w:r w:rsidR="00B00BCC">
        <w:rPr>
          <w:rFonts w:asciiTheme="majorHAnsi" w:hAnsiTheme="majorHAnsi"/>
          <w:b/>
          <w:sz w:val="24"/>
          <w:szCs w:val="24"/>
        </w:rPr>
        <w:t>a</w:t>
      </w:r>
      <w:r w:rsidRPr="00D412F5">
        <w:rPr>
          <w:rFonts w:asciiTheme="majorHAnsi" w:hAnsiTheme="majorHAnsi"/>
          <w:b/>
          <w:sz w:val="24"/>
          <w:szCs w:val="24"/>
        </w:rPr>
        <w:t xml:space="preserve"> Municipal</w:t>
      </w:r>
    </w:p>
    <w:p w:rsidR="0065424A" w:rsidRPr="00D412F5" w:rsidP="00955EE4" w14:paraId="4877CE92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65424A" w:rsidRPr="00D412F5" w:rsidP="00F50242" w14:paraId="373C84E4" w14:textId="414F2EDD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 xml:space="preserve">Assunto: </w:t>
      </w:r>
      <w:r w:rsidRPr="00B00BCC" w:rsidR="00B00BCC">
        <w:rPr>
          <w:rFonts w:asciiTheme="majorHAnsi" w:hAnsiTheme="majorHAnsi"/>
          <w:sz w:val="24"/>
          <w:szCs w:val="24"/>
        </w:rPr>
        <w:t>Dispõe sobre as diretrizes para a elaboração e execução da Lei Orçamentária de 2026 e dá outras providências.</w:t>
      </w:r>
    </w:p>
    <w:p w:rsidR="000E72B4" w:rsidRPr="00D412F5" w:rsidP="00955EE4" w14:paraId="27C2EE1B" w14:textId="77777777">
      <w:pPr>
        <w:spacing w:line="360" w:lineRule="auto"/>
        <w:ind w:firstLine="709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65424A" w:rsidRPr="00D412F5" w:rsidP="00955EE4" w14:paraId="7C353C06" w14:textId="7777777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  <w:r w:rsidRPr="00D412F5">
        <w:rPr>
          <w:rFonts w:eastAsia="Calibri" w:asciiTheme="majorHAnsi" w:hAnsiTheme="majorHAnsi" w:cs="Arial"/>
          <w:b/>
          <w:sz w:val="24"/>
          <w:szCs w:val="24"/>
          <w:u w:val="single"/>
        </w:rPr>
        <w:t>COMISSÃO DE FINANÇAS E ORÇAMENTOS</w:t>
      </w:r>
    </w:p>
    <w:p w:rsidR="0092055F" w:rsidRPr="00D412F5" w:rsidP="00955EE4" w14:paraId="214CB78E" w14:textId="7777777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</w:p>
    <w:p w:rsidR="0092055F" w:rsidRPr="00D412F5" w:rsidP="0092055F" w14:paraId="172A825A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asciiTheme="majorHAnsi" w:hAnsiTheme="majorHAnsi" w:cs="Arial"/>
          <w:b/>
          <w:i/>
          <w:sz w:val="24"/>
          <w:szCs w:val="24"/>
          <w:u w:val="single"/>
        </w:rPr>
      </w:pPr>
      <w:r w:rsidRPr="00D412F5">
        <w:rPr>
          <w:rFonts w:eastAsia="Calibri" w:asciiTheme="majorHAnsi" w:hAnsiTheme="majorHAnsi" w:cs="Arial"/>
          <w:b/>
          <w:i/>
          <w:sz w:val="24"/>
          <w:szCs w:val="24"/>
          <w:u w:val="single"/>
        </w:rPr>
        <w:t>I – RELATÓRIO</w:t>
      </w:r>
    </w:p>
    <w:p w:rsidR="0092055F" w:rsidRPr="00D412F5" w:rsidP="0092055F" w14:paraId="54D78046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asciiTheme="majorHAnsi" w:hAnsiTheme="majorHAnsi" w:cs="Arial"/>
          <w:b/>
          <w:sz w:val="24"/>
          <w:szCs w:val="24"/>
          <w:u w:val="single"/>
        </w:rPr>
      </w:pPr>
    </w:p>
    <w:p w:rsidR="0065424A" w:rsidRPr="00D412F5" w:rsidP="00955EE4" w14:paraId="6A60E581" w14:textId="45F0D15B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 xml:space="preserve">Vem a exame desta </w:t>
      </w:r>
      <w:r w:rsidRPr="00D412F5" w:rsidR="00C26E29">
        <w:rPr>
          <w:rFonts w:asciiTheme="majorHAnsi" w:hAnsiTheme="majorHAnsi"/>
          <w:sz w:val="24"/>
          <w:szCs w:val="24"/>
        </w:rPr>
        <w:t xml:space="preserve">Comissão </w:t>
      </w:r>
      <w:r w:rsidRPr="00D412F5" w:rsidR="00F50242">
        <w:rPr>
          <w:rFonts w:asciiTheme="majorHAnsi" w:hAnsiTheme="majorHAnsi"/>
          <w:sz w:val="24"/>
          <w:szCs w:val="24"/>
        </w:rPr>
        <w:t xml:space="preserve">o </w:t>
      </w:r>
      <w:r w:rsidR="00D412F5">
        <w:rPr>
          <w:rFonts w:asciiTheme="majorHAnsi" w:hAnsiTheme="majorHAnsi"/>
          <w:sz w:val="24"/>
          <w:szCs w:val="24"/>
        </w:rPr>
        <w:t xml:space="preserve">Projeto de Lei nº </w:t>
      </w:r>
      <w:r w:rsidR="00B00BCC">
        <w:rPr>
          <w:rFonts w:asciiTheme="majorHAnsi" w:hAnsiTheme="majorHAnsi"/>
          <w:sz w:val="24"/>
          <w:szCs w:val="24"/>
        </w:rPr>
        <w:t>23</w:t>
      </w:r>
      <w:r w:rsidRPr="00D412F5" w:rsidR="00F50242">
        <w:rPr>
          <w:rFonts w:asciiTheme="majorHAnsi" w:hAnsiTheme="majorHAnsi"/>
          <w:sz w:val="24"/>
          <w:szCs w:val="24"/>
        </w:rPr>
        <w:t xml:space="preserve"> de 202</w:t>
      </w:r>
      <w:r w:rsidR="00B00BCC">
        <w:rPr>
          <w:rFonts w:asciiTheme="majorHAnsi" w:hAnsiTheme="majorHAnsi"/>
          <w:sz w:val="24"/>
          <w:szCs w:val="24"/>
        </w:rPr>
        <w:t>5</w:t>
      </w:r>
      <w:r w:rsidRPr="00D412F5">
        <w:rPr>
          <w:rFonts w:asciiTheme="majorHAnsi" w:hAnsiTheme="majorHAnsi"/>
          <w:sz w:val="24"/>
          <w:szCs w:val="24"/>
        </w:rPr>
        <w:t>, de iniciativa d</w:t>
      </w:r>
      <w:r w:rsidR="00B00BCC">
        <w:rPr>
          <w:rFonts w:asciiTheme="majorHAnsi" w:hAnsiTheme="majorHAnsi"/>
          <w:sz w:val="24"/>
          <w:szCs w:val="24"/>
        </w:rPr>
        <w:t>a</w:t>
      </w:r>
      <w:r w:rsidRPr="00D412F5">
        <w:rPr>
          <w:rFonts w:asciiTheme="majorHAnsi" w:hAnsiTheme="majorHAnsi"/>
          <w:sz w:val="24"/>
          <w:szCs w:val="24"/>
        </w:rPr>
        <w:t xml:space="preserve"> Prefeit</w:t>
      </w:r>
      <w:r w:rsidR="00B00BCC">
        <w:rPr>
          <w:rFonts w:asciiTheme="majorHAnsi" w:hAnsiTheme="majorHAnsi"/>
          <w:sz w:val="24"/>
          <w:szCs w:val="24"/>
        </w:rPr>
        <w:t>a</w:t>
      </w:r>
      <w:r w:rsidRPr="00D412F5">
        <w:rPr>
          <w:rFonts w:asciiTheme="majorHAnsi" w:hAnsiTheme="majorHAnsi"/>
          <w:sz w:val="24"/>
          <w:szCs w:val="24"/>
        </w:rPr>
        <w:t xml:space="preserve"> Municipal, que </w:t>
      </w:r>
      <w:r w:rsidRPr="00D412F5" w:rsidR="00C26E29">
        <w:rPr>
          <w:rFonts w:asciiTheme="majorHAnsi" w:hAnsiTheme="majorHAnsi"/>
          <w:sz w:val="24"/>
          <w:szCs w:val="24"/>
        </w:rPr>
        <w:t>dispõe sobre as diretrizes para elaboração e exec</w:t>
      </w:r>
      <w:r w:rsidRPr="00D412F5" w:rsidR="00F50242">
        <w:rPr>
          <w:rFonts w:asciiTheme="majorHAnsi" w:hAnsiTheme="majorHAnsi"/>
          <w:sz w:val="24"/>
          <w:szCs w:val="24"/>
        </w:rPr>
        <w:t>ução da Lei Orçamentária de 202</w:t>
      </w:r>
      <w:r w:rsidR="00B00BCC">
        <w:rPr>
          <w:rFonts w:asciiTheme="majorHAnsi" w:hAnsiTheme="majorHAnsi"/>
          <w:sz w:val="24"/>
          <w:szCs w:val="24"/>
        </w:rPr>
        <w:t>6</w:t>
      </w:r>
      <w:r w:rsidRPr="00D412F5" w:rsidR="00C26E29">
        <w:rPr>
          <w:rFonts w:asciiTheme="majorHAnsi" w:hAnsiTheme="majorHAnsi"/>
          <w:sz w:val="24"/>
          <w:szCs w:val="24"/>
        </w:rPr>
        <w:t xml:space="preserve"> e dá outras providências</w:t>
      </w:r>
      <w:r w:rsidRPr="00D412F5">
        <w:rPr>
          <w:rFonts w:asciiTheme="majorHAnsi" w:hAnsiTheme="majorHAnsi"/>
          <w:sz w:val="24"/>
          <w:szCs w:val="24"/>
        </w:rPr>
        <w:t>.</w:t>
      </w:r>
    </w:p>
    <w:p w:rsidR="00361179" w:rsidRPr="00D412F5" w:rsidP="00955EE4" w14:paraId="22516B2B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361179" w:rsidRPr="00D412F5" w:rsidP="00955EE4" w14:paraId="28891A47" w14:textId="05AC5721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>Às fls. 0</w:t>
      </w:r>
      <w:r w:rsidR="00B00BCC">
        <w:rPr>
          <w:rFonts w:asciiTheme="majorHAnsi" w:hAnsiTheme="majorHAnsi"/>
          <w:sz w:val="24"/>
          <w:szCs w:val="24"/>
        </w:rPr>
        <w:t>1</w:t>
      </w:r>
      <w:r w:rsidRPr="00D412F5">
        <w:rPr>
          <w:rFonts w:asciiTheme="majorHAnsi" w:hAnsiTheme="majorHAnsi"/>
          <w:sz w:val="24"/>
          <w:szCs w:val="24"/>
        </w:rPr>
        <w:t>/0</w:t>
      </w:r>
      <w:r w:rsidRPr="00D412F5" w:rsidR="00F50242">
        <w:rPr>
          <w:rFonts w:asciiTheme="majorHAnsi" w:hAnsiTheme="majorHAnsi"/>
          <w:sz w:val="24"/>
          <w:szCs w:val="24"/>
        </w:rPr>
        <w:t>6</w:t>
      </w:r>
      <w:r w:rsidRPr="00D412F5">
        <w:rPr>
          <w:rFonts w:asciiTheme="majorHAnsi" w:hAnsiTheme="majorHAnsi"/>
          <w:sz w:val="24"/>
          <w:szCs w:val="24"/>
        </w:rPr>
        <w:t xml:space="preserve"> consta mensagem d</w:t>
      </w:r>
      <w:r w:rsidR="00B00BCC">
        <w:rPr>
          <w:rFonts w:asciiTheme="majorHAnsi" w:hAnsiTheme="majorHAnsi"/>
          <w:sz w:val="24"/>
          <w:szCs w:val="24"/>
        </w:rPr>
        <w:t>a</w:t>
      </w:r>
      <w:r w:rsidRPr="00D412F5">
        <w:rPr>
          <w:rFonts w:asciiTheme="majorHAnsi" w:hAnsiTheme="majorHAnsi"/>
          <w:sz w:val="24"/>
          <w:szCs w:val="24"/>
        </w:rPr>
        <w:t xml:space="preserve"> Exm</w:t>
      </w:r>
      <w:r w:rsidR="00B00BCC">
        <w:rPr>
          <w:rFonts w:asciiTheme="majorHAnsi" w:hAnsiTheme="majorHAnsi"/>
          <w:sz w:val="24"/>
          <w:szCs w:val="24"/>
        </w:rPr>
        <w:t>a</w:t>
      </w:r>
      <w:r w:rsidRPr="00D412F5">
        <w:rPr>
          <w:rFonts w:asciiTheme="majorHAnsi" w:hAnsiTheme="majorHAnsi"/>
          <w:sz w:val="24"/>
          <w:szCs w:val="24"/>
        </w:rPr>
        <w:t>. Sr. Prefeit</w:t>
      </w:r>
      <w:r w:rsidR="00B00BCC">
        <w:rPr>
          <w:rFonts w:asciiTheme="majorHAnsi" w:hAnsiTheme="majorHAnsi"/>
          <w:sz w:val="24"/>
          <w:szCs w:val="24"/>
        </w:rPr>
        <w:t>a</w:t>
      </w:r>
      <w:r w:rsidRPr="00D412F5">
        <w:rPr>
          <w:rFonts w:asciiTheme="majorHAnsi" w:hAnsiTheme="majorHAnsi"/>
          <w:sz w:val="24"/>
          <w:szCs w:val="24"/>
        </w:rPr>
        <w:t xml:space="preserve"> explicitando o fundamento legal do projeto. Ás fls. </w:t>
      </w:r>
      <w:r w:rsidR="00D412F5">
        <w:rPr>
          <w:rFonts w:asciiTheme="majorHAnsi" w:hAnsiTheme="majorHAnsi"/>
          <w:sz w:val="24"/>
          <w:szCs w:val="24"/>
        </w:rPr>
        <w:t xml:space="preserve">07 e seguintes </w:t>
      </w:r>
      <w:r w:rsidRPr="00D412F5">
        <w:rPr>
          <w:rFonts w:asciiTheme="majorHAnsi" w:hAnsiTheme="majorHAnsi"/>
          <w:sz w:val="24"/>
          <w:szCs w:val="24"/>
        </w:rPr>
        <w:t>encontram-se os termos da Lei a ser submetida à apreciação desta Câmara</w:t>
      </w:r>
      <w:r w:rsidR="00D412F5">
        <w:rPr>
          <w:rFonts w:asciiTheme="majorHAnsi" w:hAnsiTheme="majorHAnsi"/>
          <w:sz w:val="24"/>
          <w:szCs w:val="24"/>
        </w:rPr>
        <w:t xml:space="preserve"> e os anexos com demonstrações contábeis.</w:t>
      </w:r>
    </w:p>
    <w:p w:rsidR="00F50242" w:rsidRPr="00D412F5" w:rsidP="00955EE4" w14:paraId="2EC1DE7A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F50242" w:rsidRPr="00D412F5" w:rsidP="00D412F5" w14:paraId="5E80A923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>Foi r</w:t>
      </w:r>
      <w:r w:rsidRPr="00D412F5" w:rsidR="00045A6B">
        <w:rPr>
          <w:rFonts w:asciiTheme="majorHAnsi" w:hAnsiTheme="majorHAnsi"/>
          <w:sz w:val="24"/>
          <w:szCs w:val="24"/>
        </w:rPr>
        <w:t>ealizada a audiência pública</w:t>
      </w:r>
      <w:r w:rsidRPr="00D412F5">
        <w:rPr>
          <w:rFonts w:asciiTheme="majorHAnsi" w:hAnsiTheme="majorHAnsi"/>
          <w:sz w:val="24"/>
          <w:szCs w:val="24"/>
        </w:rPr>
        <w:t xml:space="preserve"> para explanação da proposta e col</w:t>
      </w:r>
      <w:r w:rsidR="00D412F5">
        <w:rPr>
          <w:rFonts w:asciiTheme="majorHAnsi" w:hAnsiTheme="majorHAnsi"/>
          <w:sz w:val="24"/>
          <w:szCs w:val="24"/>
        </w:rPr>
        <w:t>hida a assinatura dos presentes.</w:t>
      </w:r>
    </w:p>
    <w:p w:rsidR="00361179" w:rsidRPr="00D412F5" w:rsidP="00955EE4" w14:paraId="08E5941C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C26E29" w:rsidRPr="00D412F5" w:rsidP="00955EE4" w14:paraId="6A6FBB54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>É o relato do necessário.</w:t>
      </w:r>
    </w:p>
    <w:p w:rsidR="000E72B4" w:rsidRPr="00D412F5" w:rsidP="00955EE4" w14:paraId="5B727874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701739" w:rsidRPr="00D412F5" w:rsidP="0092055F" w14:paraId="5183EC68" w14:textId="777777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D412F5">
        <w:rPr>
          <w:rFonts w:asciiTheme="majorHAnsi" w:hAnsiTheme="majorHAnsi" w:cstheme="minorHAnsi"/>
          <w:b/>
          <w:i/>
          <w:sz w:val="24"/>
          <w:szCs w:val="24"/>
          <w:u w:val="single"/>
        </w:rPr>
        <w:t>I</w:t>
      </w:r>
      <w:r w:rsidRPr="00D412F5" w:rsidR="00A21169">
        <w:rPr>
          <w:rFonts w:asciiTheme="majorHAnsi" w:hAnsiTheme="majorHAnsi" w:cstheme="minorHAnsi"/>
          <w:b/>
          <w:i/>
          <w:sz w:val="24"/>
          <w:szCs w:val="24"/>
          <w:u w:val="single"/>
        </w:rPr>
        <w:t>I</w:t>
      </w:r>
      <w:r w:rsidRPr="00D412F5">
        <w:rPr>
          <w:rFonts w:asciiTheme="majorHAnsi" w:hAnsiTheme="majorHAnsi" w:cstheme="minorHAnsi"/>
          <w:b/>
          <w:i/>
          <w:sz w:val="24"/>
          <w:szCs w:val="24"/>
          <w:u w:val="single"/>
        </w:rPr>
        <w:t>– DA ANÁLISE DO MÉRITO</w:t>
      </w:r>
    </w:p>
    <w:p w:rsidR="00A272D4" w:rsidRPr="00D412F5" w:rsidP="00955EE4" w14:paraId="4D112BB2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</w:p>
    <w:p w:rsidR="00C26E29" w:rsidP="00C26E29" w14:paraId="26C6244E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D412F5">
        <w:rPr>
          <w:rFonts w:asciiTheme="majorHAnsi" w:hAnsiTheme="majorHAnsi" w:cstheme="minorHAnsi"/>
          <w:sz w:val="24"/>
          <w:szCs w:val="24"/>
        </w:rPr>
        <w:t>Nos termos do art. 102 do Regimento Interno desta câmara, à comissão de finanças e orçamento compete</w:t>
      </w:r>
      <w:r w:rsidR="00A0216D">
        <w:rPr>
          <w:rFonts w:asciiTheme="majorHAnsi" w:hAnsiTheme="majorHAnsi" w:cstheme="minorHAnsi"/>
          <w:sz w:val="24"/>
          <w:szCs w:val="24"/>
        </w:rPr>
        <w:t xml:space="preserve"> </w:t>
      </w:r>
      <w:r w:rsidRPr="00D412F5">
        <w:rPr>
          <w:rFonts w:asciiTheme="majorHAnsi" w:hAnsiTheme="majorHAnsi" w:cstheme="minorHAnsi"/>
          <w:sz w:val="24"/>
          <w:szCs w:val="24"/>
        </w:rPr>
        <w:t>opinar sobre todos os assuntos de caráter financeiro.</w:t>
      </w:r>
    </w:p>
    <w:p w:rsidR="00D412F5" w:rsidRPr="00D412F5" w:rsidP="00C26E29" w14:paraId="1A6B999B" w14:textId="77777777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E26E30" w:rsidRPr="00D412F5" w:rsidP="00955EE4" w14:paraId="2CF09DE9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D412F5">
        <w:rPr>
          <w:rFonts w:asciiTheme="majorHAnsi" w:hAnsiTheme="majorHAnsi" w:cstheme="minorHAnsi"/>
          <w:sz w:val="24"/>
          <w:szCs w:val="24"/>
        </w:rPr>
        <w:t xml:space="preserve">A lei </w:t>
      </w:r>
      <w:r w:rsidR="00D412F5">
        <w:rPr>
          <w:rFonts w:asciiTheme="majorHAnsi" w:hAnsiTheme="majorHAnsi" w:cstheme="minorHAnsi"/>
          <w:sz w:val="24"/>
          <w:szCs w:val="24"/>
        </w:rPr>
        <w:t>de diretrizes orçamentárias</w:t>
      </w:r>
      <w:r w:rsidRPr="00D412F5">
        <w:rPr>
          <w:rFonts w:asciiTheme="majorHAnsi" w:hAnsiTheme="majorHAnsi" w:cstheme="minorHAnsi"/>
          <w:sz w:val="24"/>
          <w:szCs w:val="24"/>
        </w:rPr>
        <w:t xml:space="preserve"> é o instrumento legal </w:t>
      </w:r>
      <w:r w:rsidRPr="00D412F5" w:rsidR="00C26E29">
        <w:rPr>
          <w:rFonts w:asciiTheme="majorHAnsi" w:hAnsiTheme="majorHAnsi" w:cstheme="minorHAnsi"/>
          <w:sz w:val="24"/>
          <w:szCs w:val="24"/>
        </w:rPr>
        <w:t>estabelece quais serão as metas e prioridades para o ano seguinte.</w:t>
      </w:r>
    </w:p>
    <w:p w:rsidR="00E26E30" w:rsidRPr="00D412F5" w:rsidP="00955EE4" w14:paraId="25E6BBE1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 xml:space="preserve">Quanto à iniciativa, é competência do Poder Executivo, conforme preconiza a Constituição Federal, </w:t>
      </w:r>
      <w:r w:rsidRPr="00D412F5">
        <w:rPr>
          <w:rFonts w:asciiTheme="majorHAnsi" w:hAnsiTheme="majorHAnsi"/>
          <w:i/>
          <w:sz w:val="24"/>
          <w:szCs w:val="24"/>
        </w:rPr>
        <w:t>in verbis</w:t>
      </w:r>
      <w:r w:rsidRPr="00D412F5">
        <w:rPr>
          <w:rFonts w:asciiTheme="majorHAnsi" w:hAnsiTheme="majorHAnsi"/>
          <w:sz w:val="24"/>
          <w:szCs w:val="24"/>
        </w:rPr>
        <w:t>:</w:t>
      </w:r>
    </w:p>
    <w:p w:rsidR="00E26E30" w:rsidRPr="00D412F5" w:rsidP="00955EE4" w14:paraId="1FC25E1D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i/>
          <w:sz w:val="24"/>
          <w:szCs w:val="24"/>
        </w:rPr>
      </w:pPr>
    </w:p>
    <w:p w:rsidR="00E26E30" w:rsidRPr="00D412F5" w:rsidP="00E26E30" w14:paraId="7EA13AED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D412F5">
        <w:rPr>
          <w:rFonts w:asciiTheme="majorHAnsi" w:hAnsiTheme="majorHAnsi"/>
          <w:b/>
          <w:i/>
          <w:sz w:val="24"/>
          <w:szCs w:val="24"/>
        </w:rPr>
        <w:t>Art. 165.</w:t>
      </w:r>
      <w:r w:rsidRPr="00D412F5">
        <w:rPr>
          <w:rFonts w:asciiTheme="majorHAnsi" w:hAnsiTheme="majorHAnsi"/>
          <w:i/>
          <w:sz w:val="24"/>
          <w:szCs w:val="24"/>
        </w:rPr>
        <w:t xml:space="preserve"> Leis de iniciativa do Poder Executivo estabelecerão:</w:t>
      </w:r>
    </w:p>
    <w:p w:rsidR="00E26E30" w:rsidRPr="00D412F5" w:rsidP="00E26E30" w14:paraId="0A5E7F60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i/>
          <w:sz w:val="24"/>
          <w:szCs w:val="24"/>
        </w:rPr>
      </w:pPr>
    </w:p>
    <w:p w:rsidR="00E26E30" w:rsidRPr="00D412F5" w:rsidP="00E26E30" w14:paraId="6649414B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D412F5">
        <w:rPr>
          <w:rFonts w:asciiTheme="majorHAnsi" w:hAnsiTheme="majorHAnsi"/>
          <w:i/>
          <w:sz w:val="24"/>
          <w:szCs w:val="24"/>
        </w:rPr>
        <w:t xml:space="preserve">(...) </w:t>
      </w:r>
    </w:p>
    <w:p w:rsidR="00E26E30" w:rsidRPr="00D412F5" w:rsidP="00E26E30" w14:paraId="235AB5A9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i/>
          <w:sz w:val="24"/>
          <w:szCs w:val="24"/>
        </w:rPr>
      </w:pPr>
    </w:p>
    <w:p w:rsidR="00E26E30" w:rsidRPr="00D412F5" w:rsidP="00955EE4" w14:paraId="69F7DEF2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D412F5">
        <w:rPr>
          <w:rFonts w:asciiTheme="majorHAnsi" w:hAnsiTheme="majorHAnsi"/>
          <w:i/>
          <w:sz w:val="24"/>
          <w:szCs w:val="24"/>
        </w:rPr>
        <w:t>II - as diretrizes orçamentárias;</w:t>
      </w:r>
    </w:p>
    <w:p w:rsidR="00C26E29" w:rsidRPr="00D412F5" w:rsidP="00955EE4" w14:paraId="6530DFD9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C1082B" w:rsidRPr="00D412F5" w:rsidP="00955EE4" w14:paraId="1F08844A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>Do mesmo modo é o disposto na Lei Orgânica do Município:</w:t>
      </w:r>
    </w:p>
    <w:p w:rsidR="00C1082B" w:rsidRPr="00D412F5" w:rsidP="00955EE4" w14:paraId="24C7D969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C1082B" w:rsidRPr="00D412F5" w:rsidP="00C1082B" w14:paraId="21EC5269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D412F5">
        <w:rPr>
          <w:rFonts w:asciiTheme="majorHAnsi" w:hAnsiTheme="majorHAnsi"/>
          <w:b/>
          <w:i/>
          <w:sz w:val="24"/>
          <w:szCs w:val="24"/>
        </w:rPr>
        <w:t>ARTIGO 81 ‐</w:t>
      </w:r>
      <w:r w:rsidRPr="00D412F5">
        <w:rPr>
          <w:rFonts w:asciiTheme="majorHAnsi" w:hAnsiTheme="majorHAnsi"/>
          <w:i/>
          <w:sz w:val="24"/>
          <w:szCs w:val="24"/>
        </w:rPr>
        <w:t xml:space="preserve"> Ao Prefeito compete,privativamente: </w:t>
      </w:r>
    </w:p>
    <w:p w:rsidR="00C26E29" w:rsidRPr="00D412F5" w:rsidP="00C1082B" w14:paraId="022241A4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</w:p>
    <w:p w:rsidR="00C1082B" w:rsidRPr="00D412F5" w:rsidP="00C1082B" w14:paraId="773CEC98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D412F5">
        <w:rPr>
          <w:rFonts w:asciiTheme="majorHAnsi" w:hAnsiTheme="majorHAnsi"/>
          <w:i/>
          <w:sz w:val="24"/>
          <w:szCs w:val="24"/>
        </w:rPr>
        <w:t>V ‐ estabelecer e enviar à Câmara o plano plurianual, as diretrizes orçamentárias e os orçamentos anuais do Município;</w:t>
      </w:r>
    </w:p>
    <w:p w:rsidR="0063296D" w:rsidRPr="00D412F5" w:rsidP="00C1082B" w14:paraId="774D7004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</w:p>
    <w:p w:rsidR="00E26E30" w:rsidRPr="00D412F5" w:rsidP="00955EE4" w14:paraId="70CF307A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 xml:space="preserve">Quanto à temporalidade para proposição, encontra-se em acordo com a Lei Orgânica do Município, </w:t>
      </w:r>
      <w:r w:rsidRPr="00D412F5" w:rsidR="000D3620">
        <w:rPr>
          <w:rFonts w:asciiTheme="majorHAnsi" w:hAnsiTheme="majorHAnsi"/>
          <w:sz w:val="24"/>
          <w:szCs w:val="24"/>
        </w:rPr>
        <w:t xml:space="preserve">no T Í T U L O IX - DISPOSIÇÃO TRANSITÓRIA, </w:t>
      </w:r>
      <w:r w:rsidRPr="00D412F5">
        <w:rPr>
          <w:rFonts w:asciiTheme="majorHAnsi" w:hAnsiTheme="majorHAnsi"/>
          <w:sz w:val="24"/>
          <w:szCs w:val="24"/>
        </w:rPr>
        <w:t>senão vejamos:</w:t>
      </w:r>
    </w:p>
    <w:p w:rsidR="0092055F" w:rsidRPr="00D412F5" w:rsidP="00955EE4" w14:paraId="5783AF3B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DD2529" w:rsidRPr="00D412F5" w:rsidP="00DD2529" w14:paraId="71E64E76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D412F5">
        <w:rPr>
          <w:rFonts w:asciiTheme="majorHAnsi" w:hAnsiTheme="majorHAnsi"/>
          <w:i/>
          <w:sz w:val="24"/>
          <w:szCs w:val="24"/>
        </w:rPr>
        <w:t>ARTIGO 2º. ‐</w:t>
      </w:r>
      <w:r w:rsidRPr="00D412F5">
        <w:rPr>
          <w:rFonts w:asciiTheme="majorHAnsi" w:hAnsiTheme="majorHAnsi"/>
          <w:i/>
          <w:sz w:val="24"/>
          <w:szCs w:val="24"/>
        </w:rPr>
        <w:tab/>
        <w:t xml:space="preserve">Os projetos de lei orçamentária de iniciativa do Poder Executivo deverão ser enviados nos seguintes prazos: </w:t>
      </w:r>
    </w:p>
    <w:p w:rsidR="00DD2529" w:rsidRPr="00D412F5" w:rsidP="00DD2529" w14:paraId="2B5CF184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</w:p>
    <w:p w:rsidR="00C1082B" w:rsidRPr="00D412F5" w:rsidP="00DD2529" w14:paraId="27AA171E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D412F5">
        <w:rPr>
          <w:rFonts w:asciiTheme="majorHAnsi" w:hAnsiTheme="majorHAnsi"/>
          <w:i/>
          <w:sz w:val="24"/>
          <w:szCs w:val="24"/>
        </w:rPr>
        <w:t>I ‐ diretrizes orçamentárias e plano plurianual: 30 de abril;</w:t>
      </w:r>
    </w:p>
    <w:p w:rsidR="000D3620" w:rsidRPr="00D412F5" w:rsidP="00DD2529" w14:paraId="43459C49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</w:p>
    <w:p w:rsidR="0054197D" w:rsidRPr="00D412F5" w:rsidP="0012462C" w14:paraId="608973CF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>Em relação à publicidade, foi realizada audiência pública, atendendo ao imperativo legal previsto no art. 48 da Lei Complementar 101/2000.</w:t>
      </w:r>
    </w:p>
    <w:p w:rsidR="0054197D" w:rsidRPr="00D412F5" w:rsidP="00DD2529" w14:paraId="142CBD7E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095F19" w:rsidRPr="00D412F5" w:rsidP="00955EE4" w14:paraId="136E56D4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 xml:space="preserve">Quanto aos requisitos, </w:t>
      </w:r>
      <w:r w:rsidRPr="00D412F5" w:rsidR="0012462C">
        <w:rPr>
          <w:rFonts w:asciiTheme="majorHAnsi" w:hAnsiTheme="majorHAnsi"/>
          <w:sz w:val="24"/>
          <w:szCs w:val="24"/>
        </w:rPr>
        <w:t>descendendo</w:t>
      </w:r>
      <w:r w:rsidRPr="00D412F5" w:rsidR="00DD2529">
        <w:rPr>
          <w:rFonts w:asciiTheme="majorHAnsi" w:hAnsiTheme="majorHAnsi"/>
          <w:sz w:val="24"/>
          <w:szCs w:val="24"/>
        </w:rPr>
        <w:t xml:space="preserve"> do arranjo basilar Constitucional</w:t>
      </w:r>
      <w:r w:rsidRPr="00D412F5">
        <w:rPr>
          <w:rFonts w:asciiTheme="majorHAnsi" w:hAnsiTheme="majorHAnsi"/>
          <w:sz w:val="24"/>
          <w:szCs w:val="24"/>
        </w:rPr>
        <w:t>, são os seguintes</w:t>
      </w:r>
      <w:r w:rsidRPr="00D412F5" w:rsidR="00E26E30">
        <w:rPr>
          <w:rFonts w:asciiTheme="majorHAnsi" w:hAnsiTheme="majorHAnsi"/>
          <w:sz w:val="24"/>
          <w:szCs w:val="24"/>
        </w:rPr>
        <w:t>:</w:t>
      </w:r>
    </w:p>
    <w:p w:rsidR="00E26E30" w:rsidRPr="00D412F5" w:rsidP="00955EE4" w14:paraId="0B05C482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54197D" w:rsidRPr="00D412F5" w:rsidP="00E26E30" w14:paraId="77505942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D412F5">
        <w:rPr>
          <w:rFonts w:asciiTheme="majorHAnsi" w:hAnsiTheme="majorHAnsi"/>
          <w:i/>
          <w:sz w:val="24"/>
          <w:szCs w:val="24"/>
        </w:rPr>
        <w:t xml:space="preserve">Art. 165 (...) </w:t>
      </w:r>
    </w:p>
    <w:p w:rsidR="00E26E30" w:rsidRPr="00D412F5" w:rsidP="000D3620" w14:paraId="607D355B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D412F5">
        <w:rPr>
          <w:rFonts w:asciiTheme="majorHAnsi" w:hAnsiTheme="majorHAnsi"/>
          <w:i/>
          <w:sz w:val="24"/>
          <w:szCs w:val="24"/>
        </w:rPr>
        <w:t>§ 2º A lei de diretrizes orçamentárias compreenderá as metas e prioridades da administração pública federal, incluindo as despesas de capital para o exercício financeiro subseqüente, orientará a elaboração da lei orçamentária anual, disporá sobre as alterações na legislação tributária e estabelecerá a política de aplicação das agências financeiras oficiais de fomento.</w:t>
      </w:r>
    </w:p>
    <w:p w:rsidR="000D3620" w:rsidRPr="00D412F5" w:rsidP="00955EE4" w14:paraId="3E74D1FB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095F19" w:rsidRPr="00D412F5" w:rsidP="00955EE4" w14:paraId="22A84F92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>Por sua vez, a Lei de Responsabilidade Fiscal (Lei Complementar nº 101/2000), determina</w:t>
      </w:r>
      <w:r w:rsidRPr="00D412F5" w:rsidR="00B81243">
        <w:rPr>
          <w:rFonts w:asciiTheme="majorHAnsi" w:hAnsiTheme="majorHAnsi"/>
          <w:sz w:val="24"/>
          <w:szCs w:val="24"/>
        </w:rPr>
        <w:t xml:space="preserve"> que a Lei Orçamentária Anual seja confeccionada da seguinte forma</w:t>
      </w:r>
      <w:r w:rsidRPr="00D412F5">
        <w:rPr>
          <w:rFonts w:asciiTheme="majorHAnsi" w:hAnsiTheme="majorHAnsi"/>
          <w:sz w:val="24"/>
          <w:szCs w:val="24"/>
        </w:rPr>
        <w:t>:</w:t>
      </w:r>
    </w:p>
    <w:p w:rsidR="00095F19" w:rsidRPr="00D412F5" w:rsidP="00955EE4" w14:paraId="2E014F29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0D3620" w:rsidRPr="00D412F5" w:rsidP="000D3620" w14:paraId="03469770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r w:rsidRPr="00D412F5">
        <w:rPr>
          <w:rFonts w:asciiTheme="majorHAnsi" w:hAnsiTheme="majorHAnsi" w:cstheme="minorHAnsi"/>
          <w:i/>
          <w:sz w:val="24"/>
          <w:szCs w:val="24"/>
        </w:rPr>
        <w:t>Art. 4</w:t>
      </w:r>
      <w:r w:rsidRPr="00D412F5">
        <w:rPr>
          <w:rFonts w:asciiTheme="majorHAnsi" w:hAnsiTheme="majorHAnsi" w:cstheme="minorHAnsi"/>
          <w:i/>
          <w:sz w:val="24"/>
          <w:szCs w:val="24"/>
          <w:u w:val="single"/>
          <w:vertAlign w:val="superscript"/>
        </w:rPr>
        <w:t>o</w:t>
      </w:r>
      <w:r w:rsidRPr="00D412F5">
        <w:rPr>
          <w:rFonts w:asciiTheme="majorHAnsi" w:hAnsiTheme="majorHAnsi" w:cstheme="minorHAnsi"/>
          <w:b/>
          <w:bCs/>
          <w:i/>
          <w:sz w:val="24"/>
          <w:szCs w:val="24"/>
        </w:rPr>
        <w:t> </w:t>
      </w:r>
      <w:r w:rsidRPr="00D412F5">
        <w:rPr>
          <w:rFonts w:asciiTheme="majorHAnsi" w:hAnsiTheme="majorHAnsi" w:cstheme="minorHAnsi"/>
          <w:i/>
          <w:sz w:val="24"/>
          <w:szCs w:val="24"/>
        </w:rPr>
        <w:t>A lei de diretrizes orçamentárias atenderá o disposto no § 2</w:t>
      </w:r>
      <w:r w:rsidRPr="00D412F5">
        <w:rPr>
          <w:rFonts w:asciiTheme="majorHAnsi" w:hAnsiTheme="majorHAnsi" w:cstheme="minorHAnsi"/>
          <w:i/>
          <w:sz w:val="24"/>
          <w:szCs w:val="24"/>
          <w:vertAlign w:val="superscript"/>
        </w:rPr>
        <w:t>o</w:t>
      </w:r>
      <w:r w:rsidRPr="00D412F5">
        <w:rPr>
          <w:rFonts w:asciiTheme="majorHAnsi" w:hAnsiTheme="majorHAnsi" w:cstheme="minorHAnsi"/>
          <w:i/>
          <w:sz w:val="24"/>
          <w:szCs w:val="24"/>
        </w:rPr>
        <w:t> do art. 165 da Constituição e:</w:t>
      </w:r>
    </w:p>
    <w:p w:rsidR="000D3620" w:rsidRPr="00D412F5" w:rsidP="000D3620" w14:paraId="462C585D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2E46B5DD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0" w:name="art4i"/>
      <w:bookmarkEnd w:id="0"/>
      <w:r w:rsidRPr="00D412F5">
        <w:rPr>
          <w:rFonts w:asciiTheme="majorHAnsi" w:hAnsiTheme="majorHAnsi" w:cstheme="minorHAnsi"/>
          <w:i/>
          <w:sz w:val="24"/>
          <w:szCs w:val="24"/>
        </w:rPr>
        <w:t>I - disporá também sobre:</w:t>
      </w:r>
    </w:p>
    <w:p w:rsidR="000D3620" w:rsidRPr="00D412F5" w:rsidP="000D3620" w14:paraId="69BBB41A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60F93AF6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" w:name="art4ia"/>
      <w:bookmarkEnd w:id="1"/>
      <w:r w:rsidRPr="00D412F5">
        <w:rPr>
          <w:rFonts w:asciiTheme="majorHAnsi" w:hAnsiTheme="majorHAnsi" w:cstheme="minorHAnsi"/>
          <w:i/>
          <w:sz w:val="24"/>
          <w:szCs w:val="24"/>
        </w:rPr>
        <w:t>a) equilíbrio entre receitas e despesas;</w:t>
      </w:r>
    </w:p>
    <w:p w:rsidR="000E72B4" w:rsidRPr="00D412F5" w:rsidP="000D3620" w14:paraId="5457D053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47DFDBA4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2" w:name="art4ib"/>
      <w:bookmarkEnd w:id="2"/>
      <w:r w:rsidRPr="00D412F5">
        <w:rPr>
          <w:rFonts w:asciiTheme="majorHAnsi" w:hAnsiTheme="majorHAnsi" w:cstheme="minorHAnsi"/>
          <w:i/>
          <w:sz w:val="24"/>
          <w:szCs w:val="24"/>
        </w:rPr>
        <w:t>b) critérios e forma de limitação de empenho, a ser efetivada nas hipóteses previstas na alínea </w:t>
      </w:r>
      <w:r w:rsidRPr="00D412F5">
        <w:rPr>
          <w:rFonts w:asciiTheme="majorHAnsi" w:hAnsiTheme="majorHAnsi" w:cstheme="minorHAnsi"/>
          <w:i/>
          <w:iCs/>
          <w:sz w:val="24"/>
          <w:szCs w:val="24"/>
        </w:rPr>
        <w:t>b</w:t>
      </w:r>
      <w:r w:rsidRPr="00D412F5">
        <w:rPr>
          <w:rFonts w:asciiTheme="majorHAnsi" w:hAnsiTheme="majorHAnsi" w:cstheme="minorHAnsi"/>
          <w:i/>
          <w:sz w:val="24"/>
          <w:szCs w:val="24"/>
        </w:rPr>
        <w:t> do inciso II deste artigo, no art. 9</w:t>
      </w:r>
      <w:r w:rsidRPr="00D412F5">
        <w:rPr>
          <w:rFonts w:asciiTheme="majorHAnsi" w:hAnsiTheme="majorHAnsi" w:cstheme="minorHAnsi"/>
          <w:i/>
          <w:sz w:val="24"/>
          <w:szCs w:val="24"/>
          <w:u w:val="single"/>
          <w:vertAlign w:val="superscript"/>
        </w:rPr>
        <w:t>o</w:t>
      </w:r>
      <w:r w:rsidRPr="00D412F5">
        <w:rPr>
          <w:rFonts w:asciiTheme="majorHAnsi" w:hAnsiTheme="majorHAnsi" w:cstheme="minorHAnsi"/>
          <w:i/>
          <w:sz w:val="24"/>
          <w:szCs w:val="24"/>
        </w:rPr>
        <w:t> e no inciso II do § 1</w:t>
      </w:r>
      <w:r w:rsidRPr="00D412F5">
        <w:rPr>
          <w:rFonts w:asciiTheme="majorHAnsi" w:hAnsiTheme="majorHAnsi" w:cstheme="minorHAnsi"/>
          <w:i/>
          <w:sz w:val="24"/>
          <w:szCs w:val="24"/>
          <w:u w:val="single"/>
          <w:vertAlign w:val="superscript"/>
        </w:rPr>
        <w:t>o</w:t>
      </w:r>
      <w:r w:rsidRPr="00D412F5">
        <w:rPr>
          <w:rFonts w:asciiTheme="majorHAnsi" w:hAnsiTheme="majorHAnsi" w:cstheme="minorHAnsi"/>
          <w:i/>
          <w:sz w:val="24"/>
          <w:szCs w:val="24"/>
        </w:rPr>
        <w:t> do art. 31;</w:t>
      </w:r>
    </w:p>
    <w:p w:rsidR="000D3620" w:rsidRPr="00D412F5" w:rsidP="000D3620" w14:paraId="71F9F419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1D1654E7" w14:textId="15D0D072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3" w:name="art4ic"/>
      <w:bookmarkEnd w:id="3"/>
      <w:r w:rsidRPr="00D412F5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Pr="00D412F5">
        <w:rPr>
          <w:rFonts w:asciiTheme="majorHAnsi" w:hAnsiTheme="majorHAnsi" w:cstheme="minorHAnsi"/>
          <w:i/>
          <w:sz w:val="24"/>
          <w:szCs w:val="24"/>
        </w:rPr>
        <w:t>(VETADO)</w:t>
      </w:r>
    </w:p>
    <w:p w:rsidR="000D3620" w:rsidRPr="00D412F5" w:rsidP="000D3620" w14:paraId="1B637723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4" w:name="art4id"/>
      <w:bookmarkEnd w:id="4"/>
    </w:p>
    <w:p w:rsidR="000D3620" w:rsidRPr="00D412F5" w:rsidP="000D3620" w14:paraId="51DE4577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5" w:name="art4ie"/>
      <w:bookmarkEnd w:id="5"/>
      <w:r w:rsidRPr="00D412F5">
        <w:rPr>
          <w:rFonts w:asciiTheme="majorHAnsi" w:hAnsiTheme="majorHAnsi" w:cstheme="minorHAnsi"/>
          <w:i/>
          <w:sz w:val="24"/>
          <w:szCs w:val="24"/>
        </w:rPr>
        <w:t>e) normas relativas ao controle de custos e à avaliação dos resultados dos programas financiados com recursos dos orçamentos;</w:t>
      </w:r>
    </w:p>
    <w:p w:rsidR="000D3620" w:rsidRPr="00D412F5" w:rsidP="000D3620" w14:paraId="571BD892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625039EB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6" w:name="art4if"/>
      <w:bookmarkEnd w:id="6"/>
      <w:r w:rsidRPr="00D412F5">
        <w:rPr>
          <w:rFonts w:asciiTheme="majorHAnsi" w:hAnsiTheme="majorHAnsi" w:cstheme="minorHAnsi"/>
          <w:i/>
          <w:sz w:val="24"/>
          <w:szCs w:val="24"/>
        </w:rPr>
        <w:t>f) demais condições e exigências para transferências de recursos a entidades públicas e privadas;</w:t>
      </w:r>
    </w:p>
    <w:p w:rsidR="000D3620" w:rsidRPr="00D412F5" w:rsidP="000D3620" w14:paraId="3ACAE741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5B825EBC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7" w:name="art4ii"/>
      <w:bookmarkStart w:id="8" w:name="art4iii"/>
      <w:bookmarkStart w:id="9" w:name="art4§1"/>
      <w:bookmarkEnd w:id="7"/>
      <w:bookmarkEnd w:id="8"/>
      <w:bookmarkEnd w:id="9"/>
      <w:r w:rsidRPr="00D412F5">
        <w:rPr>
          <w:rFonts w:asciiTheme="majorHAnsi" w:hAnsiTheme="majorHAnsi" w:cstheme="minorHAnsi"/>
          <w:i/>
          <w:sz w:val="24"/>
          <w:szCs w:val="24"/>
        </w:rPr>
        <w:t>§ 1</w:t>
      </w:r>
      <w:r w:rsidRPr="00D412F5">
        <w:rPr>
          <w:rFonts w:asciiTheme="majorHAnsi" w:hAnsiTheme="majorHAnsi" w:cstheme="minorHAnsi"/>
          <w:i/>
          <w:sz w:val="24"/>
          <w:szCs w:val="24"/>
          <w:u w:val="single"/>
          <w:vertAlign w:val="superscript"/>
        </w:rPr>
        <w:t>o</w:t>
      </w:r>
      <w:r w:rsidRPr="00D412F5">
        <w:rPr>
          <w:rFonts w:asciiTheme="majorHAnsi" w:hAnsiTheme="majorHAnsi" w:cstheme="minorHAnsi"/>
          <w:i/>
          <w:sz w:val="24"/>
          <w:szCs w:val="24"/>
        </w:rPr>
        <w:t xml:space="preserve"> Integrará o projeto de lei de diretrizes orçamentárias Anexo de Metas Fiscais, em que serão estabelecidas metas anuais, em valores correntes e constantes, relativas a receitas, despesas, resultados nominal e primário e </w:t>
      </w:r>
      <w:r w:rsidRPr="00D412F5">
        <w:rPr>
          <w:rFonts w:asciiTheme="majorHAnsi" w:hAnsiTheme="majorHAnsi" w:cstheme="minorHAnsi"/>
          <w:i/>
          <w:sz w:val="24"/>
          <w:szCs w:val="24"/>
        </w:rPr>
        <w:t>montante da dívida pública, para o exercício a que se referirem e para os dois seguintes.</w:t>
      </w:r>
    </w:p>
    <w:p w:rsidR="000D3620" w:rsidRPr="00D412F5" w:rsidP="000D3620" w14:paraId="337947A3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4EBDFCEC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0" w:name="art4§2"/>
      <w:bookmarkEnd w:id="10"/>
      <w:r w:rsidRPr="00D412F5">
        <w:rPr>
          <w:rFonts w:asciiTheme="majorHAnsi" w:hAnsiTheme="majorHAnsi" w:cstheme="minorHAnsi"/>
          <w:i/>
          <w:sz w:val="24"/>
          <w:szCs w:val="24"/>
        </w:rPr>
        <w:t>§ 2</w:t>
      </w:r>
      <w:r w:rsidRPr="00D412F5">
        <w:rPr>
          <w:rFonts w:asciiTheme="majorHAnsi" w:hAnsiTheme="majorHAnsi" w:cstheme="minorHAnsi"/>
          <w:i/>
          <w:sz w:val="24"/>
          <w:szCs w:val="24"/>
          <w:u w:val="single"/>
          <w:vertAlign w:val="superscript"/>
        </w:rPr>
        <w:t>o</w:t>
      </w:r>
      <w:r w:rsidRPr="00D412F5">
        <w:rPr>
          <w:rFonts w:asciiTheme="majorHAnsi" w:hAnsiTheme="majorHAnsi" w:cstheme="minorHAnsi"/>
          <w:i/>
          <w:sz w:val="24"/>
          <w:szCs w:val="24"/>
        </w:rPr>
        <w:t> O Anexo conterá, ainda:</w:t>
      </w:r>
    </w:p>
    <w:p w:rsidR="000D3620" w:rsidRPr="00D412F5" w:rsidP="000D3620" w14:paraId="699CD93A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41466AB3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1" w:name="art4§2i"/>
      <w:bookmarkEnd w:id="11"/>
      <w:r w:rsidRPr="00D412F5">
        <w:rPr>
          <w:rFonts w:asciiTheme="majorHAnsi" w:hAnsiTheme="majorHAnsi" w:cstheme="minorHAnsi"/>
          <w:i/>
          <w:sz w:val="24"/>
          <w:szCs w:val="24"/>
        </w:rPr>
        <w:t>I - avaliação do cumprimento das metas relativas ao ano anterior;</w:t>
      </w:r>
    </w:p>
    <w:p w:rsidR="000D3620" w:rsidRPr="00D412F5" w:rsidP="000D3620" w14:paraId="45782CB2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2E577012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2" w:name="art4§2ii"/>
      <w:bookmarkEnd w:id="12"/>
      <w:r w:rsidRPr="00D412F5">
        <w:rPr>
          <w:rFonts w:asciiTheme="majorHAnsi" w:hAnsiTheme="majorHAnsi" w:cstheme="minorHAnsi"/>
          <w:i/>
          <w:sz w:val="24"/>
          <w:szCs w:val="24"/>
        </w:rPr>
        <w:t>II - demonstrativo das metas anuais, instruído com memória e metodologia de cálculo que justifiquem os resultados pretendidos, comparando-as com as fixadas nos três exercícios anteriores, e evidenciando a consistência delas com as premissas e os objetivos da política econômica nacional;</w:t>
      </w:r>
    </w:p>
    <w:p w:rsidR="000D3620" w:rsidRPr="00D412F5" w:rsidP="000D3620" w14:paraId="6B734059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3F78800E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3" w:name="art4§2iii"/>
      <w:bookmarkEnd w:id="13"/>
      <w:r w:rsidRPr="00D412F5">
        <w:rPr>
          <w:rFonts w:asciiTheme="majorHAnsi" w:hAnsiTheme="majorHAnsi" w:cstheme="minorHAnsi"/>
          <w:i/>
          <w:sz w:val="24"/>
          <w:szCs w:val="24"/>
        </w:rPr>
        <w:t>III - evolução do patrimônio líquido, também nos últimos três exercícios, destacando a origem e a aplicação dos recursos obtidos com a alienação de ativos;</w:t>
      </w:r>
    </w:p>
    <w:p w:rsidR="000D3620" w:rsidRPr="00D412F5" w:rsidP="000D3620" w14:paraId="0CD57E51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755BAC1C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4" w:name="art4iv"/>
      <w:bookmarkEnd w:id="14"/>
      <w:r w:rsidRPr="00D412F5">
        <w:rPr>
          <w:rFonts w:asciiTheme="majorHAnsi" w:hAnsiTheme="majorHAnsi" w:cstheme="minorHAnsi"/>
          <w:i/>
          <w:sz w:val="24"/>
          <w:szCs w:val="24"/>
        </w:rPr>
        <w:t>IV - avaliação da situação financeira e atuarial:</w:t>
      </w:r>
    </w:p>
    <w:p w:rsidR="000D3620" w:rsidRPr="00D412F5" w:rsidP="000D3620" w14:paraId="58E6A156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22C84120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5" w:name="art4iva"/>
      <w:bookmarkEnd w:id="15"/>
      <w:r w:rsidRPr="00D412F5">
        <w:rPr>
          <w:rFonts w:asciiTheme="majorHAnsi" w:hAnsiTheme="majorHAnsi" w:cstheme="minorHAnsi"/>
          <w:i/>
          <w:sz w:val="24"/>
          <w:szCs w:val="24"/>
        </w:rPr>
        <w:t>a) dos regimes geral de previdência social e próprio dos servidores públicos e do Fundo de Amparo ao Trabalhador;</w:t>
      </w:r>
    </w:p>
    <w:p w:rsidR="000D3620" w:rsidRPr="00D412F5" w:rsidP="000D3620" w14:paraId="77773D24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34718A16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6" w:name="art4ivb"/>
      <w:bookmarkEnd w:id="16"/>
      <w:r w:rsidRPr="00D412F5">
        <w:rPr>
          <w:rFonts w:asciiTheme="majorHAnsi" w:hAnsiTheme="majorHAnsi" w:cstheme="minorHAnsi"/>
          <w:i/>
          <w:sz w:val="24"/>
          <w:szCs w:val="24"/>
        </w:rPr>
        <w:t>b) dos demais fundos públicos e programas estatais de natureza atuarial;</w:t>
      </w:r>
    </w:p>
    <w:p w:rsidR="000D3620" w:rsidRPr="00D412F5" w:rsidP="000D3620" w14:paraId="02CB3926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P="000D3620" w14:paraId="495C2166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7" w:name="art4§2v"/>
      <w:bookmarkEnd w:id="17"/>
      <w:r w:rsidRPr="00D412F5">
        <w:rPr>
          <w:rFonts w:asciiTheme="majorHAnsi" w:hAnsiTheme="majorHAnsi" w:cstheme="minorHAnsi"/>
          <w:i/>
          <w:sz w:val="24"/>
          <w:szCs w:val="24"/>
        </w:rPr>
        <w:t>V - demonstrativo da estimativa e compensação da renúncia de receita e da margem de expansão das despesas obrigatórias de caráter continuado.</w:t>
      </w:r>
    </w:p>
    <w:p w:rsidR="00B00BCC" w:rsidRPr="00D412F5" w:rsidP="000D3620" w14:paraId="7DA103D4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0D3620" w:rsidRPr="00D412F5" w:rsidP="000D3620" w14:paraId="6E7A218B" w14:textId="7777777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  <w:bookmarkStart w:id="18" w:name="art4§3"/>
      <w:bookmarkEnd w:id="18"/>
      <w:r w:rsidRPr="00D412F5">
        <w:rPr>
          <w:rFonts w:asciiTheme="majorHAnsi" w:hAnsiTheme="majorHAnsi" w:cstheme="minorHAnsi"/>
          <w:i/>
          <w:sz w:val="24"/>
          <w:szCs w:val="24"/>
        </w:rPr>
        <w:t>§ 3</w:t>
      </w:r>
      <w:r w:rsidRPr="00D412F5">
        <w:rPr>
          <w:rFonts w:asciiTheme="majorHAnsi" w:hAnsiTheme="majorHAnsi" w:cstheme="minorHAnsi"/>
          <w:i/>
          <w:sz w:val="24"/>
          <w:szCs w:val="24"/>
          <w:u w:val="single"/>
          <w:vertAlign w:val="superscript"/>
        </w:rPr>
        <w:t>o</w:t>
      </w:r>
      <w:r w:rsidRPr="00D412F5">
        <w:rPr>
          <w:rFonts w:asciiTheme="majorHAnsi" w:hAnsiTheme="majorHAnsi" w:cstheme="minorHAnsi"/>
          <w:i/>
          <w:sz w:val="24"/>
          <w:szCs w:val="24"/>
        </w:rPr>
        <w:t> A lei de diretrizes orçamentárias conterá Anexo de Riscos Fiscais, onde serão avaliados os passivos contingentes e outros riscos capazes de afetar as contas públicas, informando as providências a serem tomadas, caso se concretizem.</w:t>
      </w:r>
    </w:p>
    <w:p w:rsidR="00095F19" w:rsidRPr="00D412F5" w:rsidP="00DD2529" w14:paraId="5E65BA05" w14:textId="77777777">
      <w:p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Theme="majorHAnsi" w:hAnsiTheme="majorHAnsi" w:cstheme="minorHAnsi"/>
          <w:i/>
          <w:sz w:val="24"/>
          <w:szCs w:val="24"/>
        </w:rPr>
      </w:pPr>
    </w:p>
    <w:p w:rsidR="00210432" w:rsidRPr="00D412F5" w:rsidP="00955EE4" w14:paraId="7F9E3AA3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 w:cstheme="minorHAnsi"/>
          <w:sz w:val="24"/>
          <w:szCs w:val="24"/>
        </w:rPr>
        <w:t xml:space="preserve">Da análise do projeto em tela, verifica-se que os </w:t>
      </w:r>
      <w:r w:rsidRPr="00D412F5">
        <w:rPr>
          <w:rFonts w:asciiTheme="majorHAnsi" w:hAnsiTheme="majorHAnsi"/>
          <w:sz w:val="24"/>
          <w:szCs w:val="24"/>
        </w:rPr>
        <w:t xml:space="preserve">anexos da mensagem, as tabelas, os quadros e os termos da Lei abrangem os assuntos determinados pela Constituição Federal e </w:t>
      </w:r>
      <w:r w:rsidRPr="00D412F5" w:rsidR="00D87414">
        <w:rPr>
          <w:rFonts w:asciiTheme="majorHAnsi" w:hAnsiTheme="majorHAnsi"/>
          <w:sz w:val="24"/>
          <w:szCs w:val="24"/>
        </w:rPr>
        <w:t>pela Lei de responsabilidade fiscal</w:t>
      </w:r>
      <w:r w:rsidR="00A0216D">
        <w:rPr>
          <w:rFonts w:asciiTheme="majorHAnsi" w:hAnsiTheme="majorHAnsi"/>
          <w:sz w:val="24"/>
          <w:szCs w:val="24"/>
        </w:rPr>
        <w:t xml:space="preserve"> </w:t>
      </w:r>
      <w:r w:rsidRPr="00D412F5" w:rsidR="00205A8B">
        <w:rPr>
          <w:rFonts w:asciiTheme="majorHAnsi" w:hAnsiTheme="majorHAnsi"/>
          <w:sz w:val="24"/>
          <w:szCs w:val="24"/>
        </w:rPr>
        <w:t>no que diz respeito à esfera de competência municipal, atendendo aos requisitos legais.</w:t>
      </w:r>
    </w:p>
    <w:p w:rsidR="00205A8B" w:rsidRPr="00D412F5" w:rsidP="00955EE4" w14:paraId="743C83D6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54197D" w:rsidRPr="00D412F5" w:rsidP="00955EE4" w14:paraId="509A9610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 xml:space="preserve">As demonstrações contábeis também seguem os moldes </w:t>
      </w:r>
      <w:r w:rsidRPr="00D412F5" w:rsidR="0012462C">
        <w:rPr>
          <w:rFonts w:asciiTheme="majorHAnsi" w:hAnsiTheme="majorHAnsi"/>
          <w:sz w:val="24"/>
          <w:szCs w:val="24"/>
        </w:rPr>
        <w:t>expressos</w:t>
      </w:r>
      <w:r w:rsidR="00A0216D">
        <w:rPr>
          <w:rFonts w:asciiTheme="majorHAnsi" w:hAnsiTheme="majorHAnsi"/>
          <w:sz w:val="24"/>
          <w:szCs w:val="24"/>
        </w:rPr>
        <w:t xml:space="preserve"> </w:t>
      </w:r>
      <w:r w:rsidRPr="00D412F5" w:rsidR="004D2AC8">
        <w:rPr>
          <w:rFonts w:asciiTheme="majorHAnsi" w:hAnsiTheme="majorHAnsi"/>
          <w:sz w:val="24"/>
          <w:szCs w:val="24"/>
        </w:rPr>
        <w:t xml:space="preserve">na Lei nº 4.320/1964, que </w:t>
      </w:r>
      <w:r w:rsidRPr="00D412F5" w:rsidR="00775886">
        <w:rPr>
          <w:rFonts w:asciiTheme="majorHAnsi" w:hAnsiTheme="majorHAnsi"/>
          <w:sz w:val="24"/>
          <w:szCs w:val="24"/>
        </w:rPr>
        <w:t>estatui Normas Gerais de Direito Financeiro para elaboração e controle dos orçamentos e balanços da União, dos Estados, dos Municípios e do Distrito Federal.</w:t>
      </w:r>
    </w:p>
    <w:p w:rsidR="0054197D" w:rsidRPr="00D412F5" w:rsidP="00955EE4" w14:paraId="557BBE40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21169" w:rsidRPr="00D412F5" w:rsidP="0063296D" w14:paraId="073E804F" w14:textId="77777777">
      <w:pPr>
        <w:spacing w:line="360" w:lineRule="auto"/>
        <w:contextualSpacing/>
        <w:jc w:val="both"/>
        <w:rPr>
          <w:rFonts w:asciiTheme="majorHAnsi" w:hAnsiTheme="majorHAnsi" w:cstheme="minorHAnsi"/>
          <w:b/>
          <w:i/>
          <w:sz w:val="24"/>
          <w:szCs w:val="24"/>
          <w:u w:val="single"/>
        </w:rPr>
      </w:pPr>
      <w:r w:rsidRPr="00D412F5">
        <w:rPr>
          <w:rFonts w:asciiTheme="majorHAnsi" w:hAnsiTheme="majorHAnsi" w:cstheme="minorHAnsi"/>
          <w:b/>
          <w:i/>
          <w:sz w:val="24"/>
          <w:szCs w:val="24"/>
          <w:u w:val="single"/>
        </w:rPr>
        <w:t>III</w:t>
      </w:r>
      <w:r w:rsidRPr="00D412F5">
        <w:rPr>
          <w:rFonts w:asciiTheme="majorHAnsi" w:hAnsiTheme="majorHAnsi" w:cstheme="minorHAnsi"/>
          <w:b/>
          <w:i/>
          <w:sz w:val="24"/>
          <w:szCs w:val="24"/>
          <w:u w:val="single"/>
        </w:rPr>
        <w:t xml:space="preserve"> – CONCLUSÃO</w:t>
      </w:r>
    </w:p>
    <w:p w:rsidR="00A21169" w:rsidRPr="00D412F5" w:rsidP="00955EE4" w14:paraId="03CD0F20" w14:textId="77777777">
      <w:pPr>
        <w:spacing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AF3B29" w:rsidRPr="00D412F5" w:rsidP="0063296D" w14:paraId="6CC9E97B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D412F5">
        <w:rPr>
          <w:rFonts w:asciiTheme="majorHAnsi" w:hAnsiTheme="majorHAnsi"/>
          <w:sz w:val="24"/>
          <w:szCs w:val="24"/>
        </w:rPr>
        <w:t xml:space="preserve">Com base nos argumentos </w:t>
      </w:r>
      <w:r w:rsidRPr="00D412F5">
        <w:rPr>
          <w:rFonts w:asciiTheme="majorHAnsi" w:hAnsiTheme="majorHAnsi"/>
          <w:sz w:val="24"/>
          <w:szCs w:val="24"/>
        </w:rPr>
        <w:t>expostos, opin</w:t>
      </w:r>
      <w:r w:rsidRPr="00D412F5">
        <w:rPr>
          <w:rFonts w:asciiTheme="majorHAnsi" w:hAnsiTheme="majorHAnsi"/>
          <w:sz w:val="24"/>
          <w:szCs w:val="24"/>
        </w:rPr>
        <w:t>amos</w:t>
      </w:r>
      <w:r w:rsidRPr="00D412F5">
        <w:rPr>
          <w:rFonts w:asciiTheme="majorHAnsi" w:hAnsiTheme="majorHAnsi"/>
          <w:sz w:val="24"/>
          <w:szCs w:val="24"/>
        </w:rPr>
        <w:t xml:space="preserve"> pela regular tramitação do projeto em tela</w:t>
      </w:r>
      <w:r w:rsidRPr="00D412F5" w:rsidR="00205A8B">
        <w:rPr>
          <w:rFonts w:asciiTheme="majorHAnsi" w:hAnsiTheme="majorHAnsi"/>
          <w:sz w:val="24"/>
          <w:szCs w:val="24"/>
        </w:rPr>
        <w:t>.</w:t>
      </w:r>
    </w:p>
    <w:p w:rsidR="00AF3B29" w:rsidRPr="00D412F5" w:rsidP="00955EE4" w14:paraId="190F0FFE" w14:textId="77777777">
      <w:pPr>
        <w:spacing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AF3B29" w:rsidP="00955EE4" w14:paraId="71E543EF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D412F5">
        <w:rPr>
          <w:rFonts w:asciiTheme="majorHAnsi" w:hAnsiTheme="majorHAnsi"/>
          <w:b/>
          <w:sz w:val="24"/>
          <w:szCs w:val="24"/>
        </w:rPr>
        <w:t xml:space="preserve">É o </w:t>
      </w:r>
      <w:r w:rsidRPr="00D412F5" w:rsidR="0063296D">
        <w:rPr>
          <w:rFonts w:asciiTheme="majorHAnsi" w:hAnsiTheme="majorHAnsi"/>
          <w:b/>
          <w:sz w:val="24"/>
          <w:szCs w:val="24"/>
        </w:rPr>
        <w:t>parecer</w:t>
      </w:r>
      <w:r w:rsidRPr="00D412F5">
        <w:rPr>
          <w:rFonts w:asciiTheme="majorHAnsi" w:hAnsiTheme="majorHAnsi"/>
          <w:b/>
          <w:sz w:val="24"/>
          <w:szCs w:val="24"/>
        </w:rPr>
        <w:t>.</w:t>
      </w:r>
    </w:p>
    <w:p w:rsidR="00A0216D" w:rsidP="00955EE4" w14:paraId="036C1EAA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A0216D" w:rsidP="00A0216D" w14:paraId="65E11687" w14:textId="31CCF66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A0216D">
        <w:rPr>
          <w:rFonts w:asciiTheme="majorHAnsi" w:hAnsiTheme="majorHAnsi"/>
          <w:sz w:val="24"/>
          <w:szCs w:val="24"/>
        </w:rPr>
        <w:t xml:space="preserve">Câmara Municipal de Cordeirópolis, </w:t>
      </w:r>
      <w:r w:rsidR="00B00BCC">
        <w:rPr>
          <w:rFonts w:asciiTheme="majorHAnsi" w:hAnsiTheme="majorHAnsi"/>
          <w:sz w:val="24"/>
          <w:szCs w:val="24"/>
        </w:rPr>
        <w:t>18</w:t>
      </w:r>
      <w:r w:rsidRPr="00A0216D">
        <w:rPr>
          <w:rFonts w:asciiTheme="majorHAnsi" w:hAnsiTheme="majorHAnsi"/>
          <w:sz w:val="24"/>
          <w:szCs w:val="24"/>
        </w:rPr>
        <w:t xml:space="preserve"> de junho de 202</w:t>
      </w:r>
      <w:r w:rsidR="00B00BCC">
        <w:rPr>
          <w:rFonts w:asciiTheme="majorHAnsi" w:hAnsiTheme="majorHAnsi"/>
          <w:sz w:val="24"/>
          <w:szCs w:val="24"/>
        </w:rPr>
        <w:t>5</w:t>
      </w:r>
      <w:r w:rsidRPr="00A0216D">
        <w:rPr>
          <w:rFonts w:asciiTheme="majorHAnsi" w:hAnsiTheme="majorHAnsi"/>
          <w:sz w:val="24"/>
          <w:szCs w:val="24"/>
        </w:rPr>
        <w:t>.</w:t>
      </w:r>
    </w:p>
    <w:p w:rsidR="00B00BCC" w:rsidP="00A0216D" w14:paraId="661EEC7A" w14:textId="7777777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B00BCC" w:rsidP="00A0216D" w14:paraId="30B43A39" w14:textId="7777777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B00BCC" w:rsidRPr="00881C2E" w:rsidP="00B00BCC" w14:paraId="7D87D4DD" w14:textId="1D0636CA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5" type="#_x0000_t202" style="width:199.7pt;height:137.19pt;margin-top:41.75pt;margin-left:10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<v:textbox style="mso-fit-shape-to-text:t">
              <w:txbxContent>
                <w:p w:rsidR="00B00BCC" w:rsidRPr="00881C2E" w:rsidP="00B00BCC" w14:paraId="2888EBC4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JOSÉ ANTONIO RODRIGUES</w:t>
                  </w:r>
                </w:p>
                <w:p w:rsidR="00B00BCC" w:rsidRPr="00881C2E" w:rsidP="00B00BCC" w14:paraId="27C9956C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Membro</w:t>
                  </w:r>
                </w:p>
                <w:p w:rsidR="00B00BCC" w:rsidRPr="00881C2E" w:rsidP="00B00BCC" w14:paraId="7B761431" w14:textId="77777777">
                  <w:pPr>
                    <w:rPr>
                      <w:rFonts w:ascii="Cambria" w:hAnsi="Cambria"/>
                    </w:rPr>
                  </w:pPr>
                </w:p>
              </w:txbxContent>
            </v:textbox>
            <w10:wrap type="square"/>
          </v:shape>
        </w:pict>
      </w:r>
    </w:p>
    <w:p w:rsidR="00B00BCC" w:rsidRPr="00881C2E" w:rsidP="00B00BCC" w14:paraId="5EFE2A94" w14:textId="4371F6C6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w:pict>
          <v:shape id="Caixa de Texto 3" o:spid="_x0000_s1026" type="#_x0000_t202" style="width:199.7pt;height:137.19pt;margin-top:18.45pt;margin-left:237.0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8240" stroked="f">
            <v:textbox style="mso-fit-shape-to-text:t">
              <w:txbxContent>
                <w:p w:rsidR="00B00BCC" w:rsidRPr="00881C2E" w:rsidP="00B00BCC" w14:paraId="3C47E0F1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VALMIR SANCHES</w:t>
                  </w:r>
                </w:p>
                <w:p w:rsidR="00B00BCC" w:rsidRPr="00881C2E" w:rsidP="00B00BCC" w14:paraId="2C8D5931" w14:textId="77777777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/>
                      <w:sz w:val="24"/>
                      <w:szCs w:val="24"/>
                    </w:rPr>
                    <w:t>Membro</w:t>
                  </w:r>
                </w:p>
              </w:txbxContent>
            </v:textbox>
            <w10:wrap type="square"/>
          </v:shape>
        </w:pict>
      </w:r>
    </w:p>
    <w:p w:rsidR="00B00BCC" w:rsidP="00B00BCC" w14:paraId="57B45930" w14:textId="0614E7F8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noProof/>
        </w:rPr>
        <w:pict>
          <v:shape id="Caixa de Texto 5" o:spid="_x0000_s1027" type="#_x0000_t202" style="width:199.7pt;height:137.19pt;margin-top:12.75pt;margin-left:119.1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0288" stroked="f">
            <v:textbox style="mso-fit-shape-to-text:t">
              <w:txbxContent>
                <w:p w:rsidR="00B00BCC" w:rsidRPr="00881C2E" w:rsidP="00B00BCC" w14:paraId="365AFC63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SIDNEI GAMBARO</w:t>
                  </w:r>
                </w:p>
                <w:p w:rsidR="00B00BCC" w:rsidRPr="00881C2E" w:rsidP="00B00BCC" w14:paraId="5B9136C8" w14:textId="77777777">
                  <w:pPr>
                    <w:jc w:val="center"/>
                    <w:rPr>
                      <w:rFonts w:ascii="Cambria" w:hAnsi="Cambria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Presidente</w:t>
                  </w:r>
                </w:p>
              </w:txbxContent>
            </v:textbox>
            <w10:wrap type="square"/>
          </v:shape>
        </w:pict>
      </w:r>
    </w:p>
    <w:p w:rsidR="00B00BCC" w:rsidP="00B00BCC" w14:paraId="3CCE7615" w14:textId="77777777">
      <w:pPr>
        <w:spacing w:line="360" w:lineRule="auto"/>
        <w:ind w:firstLine="1134"/>
        <w:contextualSpacing/>
        <w:jc w:val="center"/>
        <w:rPr>
          <w:rFonts w:asciiTheme="majorHAnsi" w:hAnsiTheme="majorHAnsi"/>
          <w:sz w:val="24"/>
          <w:szCs w:val="24"/>
        </w:rPr>
      </w:pPr>
    </w:p>
    <w:p w:rsidR="00B00BCC" w:rsidRPr="00A0216D" w:rsidP="00A0216D" w14:paraId="3063526C" w14:textId="7777777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sectPr w:rsidSect="000E72B4">
      <w:headerReference w:type="default" r:id="rId5"/>
      <w:footerReference w:type="default" r:id="rId6"/>
      <w:pgSz w:w="11906" w:h="16838" w:code="9"/>
      <w:pgMar w:top="1701" w:right="1701" w:bottom="1418" w:left="1701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0D7FB7" w14:paraId="57A96EB7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16D">
          <w:rPr>
            <w:noProof/>
          </w:rPr>
          <w:t>5</w:t>
        </w:r>
        <w:r>
          <w:fldChar w:fldCharType="end"/>
        </w:r>
      </w:p>
    </w:sdtContent>
  </w:sdt>
  <w:p w:rsidR="000D7FB7" w14:paraId="1A0948FC" w14:textId="59FDF148">
    <w:pPr>
      <w:pStyle w:val="Footer"/>
    </w:pPr>
    <w:r w:rsidRPr="000D06C2">
      <w:rPr>
        <w:noProof/>
      </w:rPr>
      <w:drawing>
        <wp:inline distT="0" distB="0" distL="0" distR="0">
          <wp:extent cx="5400040" cy="178435"/>
          <wp:effectExtent l="0" t="0" r="0" b="0"/>
          <wp:docPr id="321183802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5356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7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BCC" w14:paraId="22F18F25" w14:textId="27ED673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782295</wp:posOffset>
          </wp:positionH>
          <wp:positionV relativeFrom="paragraph">
            <wp:posOffset>-215900</wp:posOffset>
          </wp:positionV>
          <wp:extent cx="5998464" cy="666574"/>
          <wp:effectExtent l="0" t="0" r="0" b="0"/>
          <wp:wrapNone/>
          <wp:docPr id="808917089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1140" name="Imagem 13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464" cy="66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87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A"/>
    <w:rsid w:val="00012080"/>
    <w:rsid w:val="000226BE"/>
    <w:rsid w:val="00045A6B"/>
    <w:rsid w:val="00047B4C"/>
    <w:rsid w:val="00062F0D"/>
    <w:rsid w:val="0009140D"/>
    <w:rsid w:val="0009486C"/>
    <w:rsid w:val="00095F19"/>
    <w:rsid w:val="000A64C5"/>
    <w:rsid w:val="000B071A"/>
    <w:rsid w:val="000B4984"/>
    <w:rsid w:val="000B5ADF"/>
    <w:rsid w:val="000D3620"/>
    <w:rsid w:val="000D7FB7"/>
    <w:rsid w:val="000E72B4"/>
    <w:rsid w:val="000F2D3F"/>
    <w:rsid w:val="0012462C"/>
    <w:rsid w:val="00184EFB"/>
    <w:rsid w:val="001867BA"/>
    <w:rsid w:val="0019206A"/>
    <w:rsid w:val="00194F46"/>
    <w:rsid w:val="001D67A8"/>
    <w:rsid w:val="00205A8B"/>
    <w:rsid w:val="00210432"/>
    <w:rsid w:val="00223C8B"/>
    <w:rsid w:val="00273858"/>
    <w:rsid w:val="0027529A"/>
    <w:rsid w:val="0029661F"/>
    <w:rsid w:val="002B35F1"/>
    <w:rsid w:val="002B62F0"/>
    <w:rsid w:val="002B6FB2"/>
    <w:rsid w:val="002C0F99"/>
    <w:rsid w:val="002C2796"/>
    <w:rsid w:val="002F5D58"/>
    <w:rsid w:val="00303CB1"/>
    <w:rsid w:val="0031428D"/>
    <w:rsid w:val="00361179"/>
    <w:rsid w:val="003915A5"/>
    <w:rsid w:val="00393EB1"/>
    <w:rsid w:val="003A042A"/>
    <w:rsid w:val="003F3AE4"/>
    <w:rsid w:val="0043254E"/>
    <w:rsid w:val="00452EBA"/>
    <w:rsid w:val="00491359"/>
    <w:rsid w:val="00493397"/>
    <w:rsid w:val="00497404"/>
    <w:rsid w:val="004A41F6"/>
    <w:rsid w:val="004A53E7"/>
    <w:rsid w:val="004B124B"/>
    <w:rsid w:val="004B2B6F"/>
    <w:rsid w:val="004C58E3"/>
    <w:rsid w:val="004D2AC8"/>
    <w:rsid w:val="004E5508"/>
    <w:rsid w:val="004F5ECE"/>
    <w:rsid w:val="004F6D5D"/>
    <w:rsid w:val="00501A44"/>
    <w:rsid w:val="00521936"/>
    <w:rsid w:val="00537C25"/>
    <w:rsid w:val="0054197D"/>
    <w:rsid w:val="0054687B"/>
    <w:rsid w:val="005563AD"/>
    <w:rsid w:val="00563B77"/>
    <w:rsid w:val="00574FEF"/>
    <w:rsid w:val="00576473"/>
    <w:rsid w:val="0059259D"/>
    <w:rsid w:val="005B2CB4"/>
    <w:rsid w:val="005D17DB"/>
    <w:rsid w:val="005D56E2"/>
    <w:rsid w:val="005F5E94"/>
    <w:rsid w:val="005F77BB"/>
    <w:rsid w:val="00600A71"/>
    <w:rsid w:val="0063296D"/>
    <w:rsid w:val="006472BE"/>
    <w:rsid w:val="0065424A"/>
    <w:rsid w:val="00682395"/>
    <w:rsid w:val="00687B09"/>
    <w:rsid w:val="006931C3"/>
    <w:rsid w:val="006B1C15"/>
    <w:rsid w:val="006C32C6"/>
    <w:rsid w:val="006D1854"/>
    <w:rsid w:val="00701739"/>
    <w:rsid w:val="00704664"/>
    <w:rsid w:val="00705027"/>
    <w:rsid w:val="00705D23"/>
    <w:rsid w:val="007204F1"/>
    <w:rsid w:val="00733394"/>
    <w:rsid w:val="007570AF"/>
    <w:rsid w:val="00761C24"/>
    <w:rsid w:val="00764A32"/>
    <w:rsid w:val="00775886"/>
    <w:rsid w:val="007957BB"/>
    <w:rsid w:val="007B5690"/>
    <w:rsid w:val="007C2244"/>
    <w:rsid w:val="007C6C38"/>
    <w:rsid w:val="007E3FAF"/>
    <w:rsid w:val="007F41FC"/>
    <w:rsid w:val="00810229"/>
    <w:rsid w:val="0081739E"/>
    <w:rsid w:val="00822E44"/>
    <w:rsid w:val="00825A51"/>
    <w:rsid w:val="0082684E"/>
    <w:rsid w:val="008552A1"/>
    <w:rsid w:val="00861057"/>
    <w:rsid w:val="00861C69"/>
    <w:rsid w:val="00863A5B"/>
    <w:rsid w:val="00881C2E"/>
    <w:rsid w:val="00887694"/>
    <w:rsid w:val="008922BE"/>
    <w:rsid w:val="008B6140"/>
    <w:rsid w:val="008F5F76"/>
    <w:rsid w:val="009064E2"/>
    <w:rsid w:val="00907971"/>
    <w:rsid w:val="0092055F"/>
    <w:rsid w:val="00944970"/>
    <w:rsid w:val="00952E17"/>
    <w:rsid w:val="00955EE4"/>
    <w:rsid w:val="009B1128"/>
    <w:rsid w:val="009C4BA2"/>
    <w:rsid w:val="009D4B2C"/>
    <w:rsid w:val="009F2850"/>
    <w:rsid w:val="00A0216D"/>
    <w:rsid w:val="00A021E4"/>
    <w:rsid w:val="00A21169"/>
    <w:rsid w:val="00A272D4"/>
    <w:rsid w:val="00A315A8"/>
    <w:rsid w:val="00A4563F"/>
    <w:rsid w:val="00A500F3"/>
    <w:rsid w:val="00A57120"/>
    <w:rsid w:val="00A77FE2"/>
    <w:rsid w:val="00A938C6"/>
    <w:rsid w:val="00A958EB"/>
    <w:rsid w:val="00AB5C7C"/>
    <w:rsid w:val="00AD6C03"/>
    <w:rsid w:val="00AD72E9"/>
    <w:rsid w:val="00AE46FE"/>
    <w:rsid w:val="00AF3B29"/>
    <w:rsid w:val="00AF5ED5"/>
    <w:rsid w:val="00AF66E9"/>
    <w:rsid w:val="00B00BCC"/>
    <w:rsid w:val="00B04EF6"/>
    <w:rsid w:val="00B81243"/>
    <w:rsid w:val="00BC7EC6"/>
    <w:rsid w:val="00BD016B"/>
    <w:rsid w:val="00BF25C8"/>
    <w:rsid w:val="00C01A41"/>
    <w:rsid w:val="00C029D9"/>
    <w:rsid w:val="00C1082B"/>
    <w:rsid w:val="00C26022"/>
    <w:rsid w:val="00C26E29"/>
    <w:rsid w:val="00C458A8"/>
    <w:rsid w:val="00C719FE"/>
    <w:rsid w:val="00C90A0A"/>
    <w:rsid w:val="00C9164F"/>
    <w:rsid w:val="00CD5FE0"/>
    <w:rsid w:val="00CD6954"/>
    <w:rsid w:val="00CF51D0"/>
    <w:rsid w:val="00CF727F"/>
    <w:rsid w:val="00D068BB"/>
    <w:rsid w:val="00D412F5"/>
    <w:rsid w:val="00D64892"/>
    <w:rsid w:val="00D71A21"/>
    <w:rsid w:val="00D85871"/>
    <w:rsid w:val="00D86BB6"/>
    <w:rsid w:val="00D87414"/>
    <w:rsid w:val="00DD2529"/>
    <w:rsid w:val="00DD779F"/>
    <w:rsid w:val="00DF34D7"/>
    <w:rsid w:val="00DF7829"/>
    <w:rsid w:val="00E04C86"/>
    <w:rsid w:val="00E2109B"/>
    <w:rsid w:val="00E21D23"/>
    <w:rsid w:val="00E24D4F"/>
    <w:rsid w:val="00E26E30"/>
    <w:rsid w:val="00E27911"/>
    <w:rsid w:val="00E328E9"/>
    <w:rsid w:val="00E409C1"/>
    <w:rsid w:val="00E40FC4"/>
    <w:rsid w:val="00E64349"/>
    <w:rsid w:val="00E76BAB"/>
    <w:rsid w:val="00E92FE1"/>
    <w:rsid w:val="00EA1CF7"/>
    <w:rsid w:val="00ED1C40"/>
    <w:rsid w:val="00EE5B4A"/>
    <w:rsid w:val="00EE617A"/>
    <w:rsid w:val="00EF1357"/>
    <w:rsid w:val="00EF4772"/>
    <w:rsid w:val="00EF745A"/>
    <w:rsid w:val="00F10E57"/>
    <w:rsid w:val="00F50242"/>
    <w:rsid w:val="00FA1B6B"/>
    <w:rsid w:val="00FB1464"/>
    <w:rsid w:val="00FB7B7B"/>
    <w:rsid w:val="00FD4F1D"/>
    <w:rsid w:val="00FE2ECB"/>
    <w:rsid w:val="00FE33AE"/>
    <w:rsid w:val="00FE790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4E1AEA-CCE8-4E37-833F-EA48A088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4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E6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B3E1-F759-4DB0-B7BA-0783F3E8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5</Pages>
  <Words>851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Josias Freitas</cp:lastModifiedBy>
  <cp:revision>39</cp:revision>
  <cp:lastPrinted>2025-06-23T14:44:41Z</cp:lastPrinted>
  <dcterms:created xsi:type="dcterms:W3CDTF">2018-07-12T13:44:00Z</dcterms:created>
  <dcterms:modified xsi:type="dcterms:W3CDTF">2025-06-18T13:49:00Z</dcterms:modified>
</cp:coreProperties>
</file>