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0E22" w:rsidRPr="00560E22" w:rsidRDefault="00560E22" w:rsidP="00560E22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i/>
          <w:iCs/>
          <w:color w:val="000000" w:themeColor="text1"/>
          <w:sz w:val="24"/>
          <w:szCs w:val="24"/>
          <w:u w:val="single"/>
        </w:rPr>
      </w:pPr>
      <w:r w:rsidRPr="00560E22">
        <w:rPr>
          <w:rFonts w:asciiTheme="majorHAnsi" w:hAnsiTheme="majorHAnsi" w:cs="Arial"/>
          <w:b/>
          <w:i/>
          <w:iCs/>
          <w:color w:val="000000" w:themeColor="text1"/>
          <w:sz w:val="24"/>
          <w:szCs w:val="24"/>
          <w:u w:val="single"/>
        </w:rPr>
        <w:t>COMISSÃO DE JUSTIÇA E REDAÇÃO</w:t>
      </w:r>
    </w:p>
    <w:p w:rsidR="00560E22" w:rsidRPr="00560E22" w:rsidRDefault="00560E22" w:rsidP="00560E22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4"/>
          <w:szCs w:val="24"/>
        </w:rPr>
      </w:pPr>
    </w:p>
    <w:p w:rsidR="00560E22" w:rsidRPr="00560E22" w:rsidRDefault="00560E22" w:rsidP="00560E22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Redação Final do Projeto de Lei </w:t>
      </w:r>
      <w:r w:rsidRPr="00560E22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Complementar </w:t>
      </w:r>
      <w:r w:rsidRPr="00560E22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nº </w:t>
      </w:r>
      <w:r w:rsidRPr="00560E22">
        <w:rPr>
          <w:rFonts w:asciiTheme="majorHAnsi" w:hAnsiTheme="majorHAnsi" w:cs="Arial"/>
          <w:b/>
          <w:color w:val="000000" w:themeColor="text1"/>
          <w:sz w:val="24"/>
          <w:szCs w:val="24"/>
        </w:rPr>
        <w:t>7</w:t>
      </w:r>
      <w:r w:rsidRPr="00560E22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/2024, </w:t>
      </w:r>
      <w:r w:rsidRPr="00560E22">
        <w:rPr>
          <w:rFonts w:asciiTheme="majorHAnsi" w:hAnsiTheme="majorHAnsi" w:cs="Arial"/>
          <w:b/>
          <w:color w:val="000000" w:themeColor="text1"/>
          <w:sz w:val="24"/>
          <w:szCs w:val="24"/>
        </w:rPr>
        <w:t xml:space="preserve">do Executivo Municipal. </w:t>
      </w:r>
    </w:p>
    <w:p w:rsidR="00560E22" w:rsidRPr="00560E22" w:rsidRDefault="00560E22" w:rsidP="00560E22">
      <w:pPr>
        <w:overflowPunct w:val="0"/>
        <w:autoSpaceDE w:val="0"/>
        <w:autoSpaceDN w:val="0"/>
        <w:adjustRightInd w:val="0"/>
        <w:rPr>
          <w:rFonts w:asciiTheme="majorHAnsi" w:hAnsiTheme="majorHAnsi" w:cs="Arial"/>
          <w:b/>
          <w:color w:val="000000" w:themeColor="text1"/>
          <w:sz w:val="24"/>
          <w:szCs w:val="24"/>
        </w:rPr>
      </w:pPr>
    </w:p>
    <w:p w:rsidR="00560E22" w:rsidRPr="00560E22" w:rsidRDefault="00560E22" w:rsidP="00560E22">
      <w:pPr>
        <w:overflowPunct w:val="0"/>
        <w:autoSpaceDE w:val="0"/>
        <w:autoSpaceDN w:val="0"/>
        <w:adjustRightInd w:val="0"/>
        <w:rPr>
          <w:rFonts w:asciiTheme="majorHAnsi" w:hAnsiTheme="majorHAnsi" w:cs="Arial"/>
          <w:bCs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Cs/>
          <w:color w:val="000000" w:themeColor="text1"/>
          <w:sz w:val="24"/>
          <w:szCs w:val="24"/>
        </w:rPr>
        <w:t xml:space="preserve">Em virtude da aprovação do Substitutivo, segue a redação final nos termos do art. 262 do Regimento Interno: </w:t>
      </w:r>
    </w:p>
    <w:p w:rsidR="00560E22" w:rsidRPr="00560E22" w:rsidRDefault="00560E22" w:rsidP="00560E22">
      <w:pPr>
        <w:spacing w:line="100" w:lineRule="atLeast"/>
        <w:ind w:left="4536"/>
        <w:jc w:val="both"/>
        <w:rPr>
          <w:rFonts w:asciiTheme="majorHAnsi" w:hAnsiTheme="majorHAnsi" w:cs="Arial"/>
          <w:b/>
          <w:bCs/>
          <w:sz w:val="24"/>
          <w:szCs w:val="24"/>
          <w:lang w:bidi="pt-BR"/>
        </w:rPr>
      </w:pPr>
      <w:r w:rsidRPr="00560E22">
        <w:rPr>
          <w:rFonts w:asciiTheme="majorHAnsi" w:hAnsiTheme="majorHAnsi" w:cs="Arial"/>
          <w:b/>
          <w:sz w:val="24"/>
          <w:szCs w:val="24"/>
        </w:rPr>
        <w:t>“</w:t>
      </w:r>
      <w:r w:rsidRPr="00560E22">
        <w:rPr>
          <w:rFonts w:asciiTheme="majorHAnsi" w:hAnsiTheme="majorHAnsi" w:cs="Arial"/>
          <w:b/>
          <w:bCs/>
          <w:sz w:val="24"/>
          <w:szCs w:val="24"/>
          <w:lang w:bidi="pt-BR"/>
        </w:rPr>
        <w:t>Dispõe sobre alteração do Anexo I, Quadro Geral de cargos e empregos públicos permanentes da Prefeitura Municipal de Cordeirópolis, Lei Complementar n° 141/2009, com posteriores, conforme especifica.</w:t>
      </w:r>
    </w:p>
    <w:p w:rsidR="00560E22" w:rsidRPr="00560E22" w:rsidRDefault="00560E22" w:rsidP="00560E22">
      <w:pPr>
        <w:shd w:val="clear" w:color="auto" w:fill="FFFFFF"/>
        <w:autoSpaceDE w:val="0"/>
        <w:snapToGrid w:val="0"/>
        <w:spacing w:line="100" w:lineRule="atLeast"/>
        <w:ind w:right="-1"/>
        <w:jc w:val="both"/>
        <w:rPr>
          <w:rFonts w:asciiTheme="majorHAnsi" w:hAnsiTheme="majorHAnsi" w:cs="Arial"/>
          <w:sz w:val="24"/>
          <w:szCs w:val="24"/>
          <w:lang w:val="pt-PT"/>
        </w:rPr>
      </w:pPr>
    </w:p>
    <w:p w:rsidR="00560E22" w:rsidRPr="00560E22" w:rsidRDefault="00560E22" w:rsidP="00560E22">
      <w:pPr>
        <w:snapToGrid w:val="0"/>
        <w:spacing w:line="100" w:lineRule="atLeast"/>
        <w:jc w:val="both"/>
        <w:rPr>
          <w:rFonts w:asciiTheme="majorHAnsi" w:hAnsiTheme="majorHAnsi" w:cs="Arial"/>
          <w:sz w:val="24"/>
          <w:szCs w:val="24"/>
          <w:lang w:bidi="pt-BR"/>
        </w:rPr>
      </w:pPr>
      <w:r w:rsidRPr="00560E22">
        <w:rPr>
          <w:rFonts w:asciiTheme="majorHAnsi" w:hAnsiTheme="majorHAnsi" w:cs="Arial"/>
          <w:b/>
          <w:bCs/>
          <w:sz w:val="24"/>
          <w:szCs w:val="24"/>
          <w:u w:val="single"/>
          <w:lang w:bidi="pt-BR"/>
        </w:rPr>
        <w:t>Art. 1º</w:t>
      </w:r>
      <w:r w:rsidRPr="00560E22">
        <w:rPr>
          <w:rFonts w:asciiTheme="majorHAnsi" w:hAnsiTheme="majorHAnsi" w:cs="Arial"/>
          <w:b/>
          <w:bCs/>
          <w:sz w:val="24"/>
          <w:szCs w:val="24"/>
          <w:lang w:bidi="pt-BR"/>
        </w:rPr>
        <w:t xml:space="preserve"> – </w:t>
      </w:r>
      <w:r w:rsidRPr="00560E22">
        <w:rPr>
          <w:rFonts w:asciiTheme="majorHAnsi" w:hAnsiTheme="majorHAnsi" w:cs="Arial"/>
          <w:sz w:val="24"/>
          <w:szCs w:val="24"/>
          <w:lang w:bidi="pt-BR"/>
        </w:rPr>
        <w:t xml:space="preserve">Fica alterado o </w:t>
      </w:r>
      <w:r w:rsidRPr="00560E22">
        <w:rPr>
          <w:rFonts w:asciiTheme="majorHAnsi" w:hAnsiTheme="majorHAnsi" w:cs="Arial"/>
          <w:b/>
          <w:sz w:val="24"/>
          <w:szCs w:val="24"/>
          <w:lang w:bidi="pt-BR"/>
        </w:rPr>
        <w:t>“Anexo I”,</w:t>
      </w:r>
      <w:r w:rsidRPr="00560E22">
        <w:rPr>
          <w:rFonts w:asciiTheme="majorHAnsi" w:hAnsiTheme="majorHAnsi" w:cs="Arial"/>
          <w:sz w:val="24"/>
          <w:szCs w:val="24"/>
          <w:lang w:bidi="pt-BR"/>
        </w:rPr>
        <w:t xml:space="preserve"> do Quadro Geral de cargos e empregos públicos permanentes da Prefeitura Municipal de Cordeirópolis - CLT, da Lei Complementar 141/2009, com posteriores alterações, conforme disposto no quadro abaixo:</w:t>
      </w:r>
    </w:p>
    <w:p w:rsidR="00560E22" w:rsidRPr="00560E22" w:rsidRDefault="00560E22" w:rsidP="00560E22">
      <w:pPr>
        <w:snapToGrid w:val="0"/>
        <w:spacing w:after="120" w:line="100" w:lineRule="atLeast"/>
        <w:jc w:val="both"/>
        <w:rPr>
          <w:rFonts w:asciiTheme="majorHAnsi" w:hAnsiTheme="majorHAnsi" w:cs="Arial"/>
          <w:sz w:val="24"/>
          <w:szCs w:val="24"/>
          <w:lang w:bidi="pt-BR"/>
        </w:rPr>
      </w:pPr>
    </w:p>
    <w:tbl>
      <w:tblPr>
        <w:tblW w:w="9814" w:type="dxa"/>
        <w:tblInd w:w="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7"/>
        <w:gridCol w:w="1303"/>
        <w:gridCol w:w="425"/>
        <w:gridCol w:w="567"/>
        <w:gridCol w:w="1134"/>
        <w:gridCol w:w="709"/>
        <w:gridCol w:w="6"/>
        <w:gridCol w:w="703"/>
        <w:gridCol w:w="1417"/>
        <w:gridCol w:w="426"/>
        <w:gridCol w:w="506"/>
        <w:gridCol w:w="1053"/>
        <w:gridCol w:w="715"/>
        <w:gridCol w:w="6"/>
        <w:gridCol w:w="23"/>
        <w:gridCol w:w="104"/>
      </w:tblGrid>
      <w:tr w:rsidR="00560E22" w:rsidRPr="00560E22" w:rsidTr="00560E22">
        <w:trPr>
          <w:gridAfter w:val="1"/>
          <w:wAfter w:w="104" w:type="dxa"/>
        </w:trPr>
        <w:tc>
          <w:tcPr>
            <w:tcW w:w="48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</w:rPr>
            </w:pPr>
            <w:r w:rsidRPr="00560E22">
              <w:rPr>
                <w:rFonts w:asciiTheme="majorHAnsi" w:hAnsiTheme="majorHAnsi" w:cs="Arial"/>
                <w:b/>
                <w:bCs/>
              </w:rPr>
              <w:t>Situação atual</w:t>
            </w:r>
          </w:p>
        </w:tc>
        <w:tc>
          <w:tcPr>
            <w:tcW w:w="482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</w:rPr>
            </w:pPr>
            <w:r w:rsidRPr="00560E22">
              <w:rPr>
                <w:rFonts w:asciiTheme="majorHAnsi" w:hAnsiTheme="majorHAnsi" w:cs="Arial"/>
                <w:b/>
                <w:bCs/>
              </w:rPr>
              <w:t>Situação nova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0E22" w:rsidRPr="00560E22" w:rsidRDefault="00560E22">
            <w:pPr>
              <w:snapToGrid w:val="0"/>
              <w:spacing w:after="120" w:line="100" w:lineRule="atLeast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  <w:tr w:rsidR="00560E22" w:rsidRPr="00560E22" w:rsidTr="00560E22">
        <w:trPr>
          <w:gridAfter w:val="1"/>
          <w:wAfter w:w="104" w:type="dxa"/>
        </w:trPr>
        <w:tc>
          <w:tcPr>
            <w:tcW w:w="4861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</w:rPr>
            </w:pPr>
            <w:r w:rsidRPr="00560E22">
              <w:rPr>
                <w:rFonts w:asciiTheme="majorHAnsi" w:hAnsiTheme="majorHAnsi" w:cs="Arial"/>
                <w:b/>
                <w:bCs/>
              </w:rPr>
              <w:t>Secretaria Municipal de Educação</w:t>
            </w:r>
          </w:p>
        </w:tc>
        <w:tc>
          <w:tcPr>
            <w:tcW w:w="4826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</w:rPr>
            </w:pPr>
            <w:r w:rsidRPr="00560E22">
              <w:rPr>
                <w:rFonts w:asciiTheme="majorHAnsi" w:hAnsiTheme="majorHAnsi" w:cs="Arial"/>
                <w:b/>
                <w:bCs/>
              </w:rPr>
              <w:t>Secretaria Municipal de Educação</w:t>
            </w:r>
          </w:p>
        </w:tc>
        <w:tc>
          <w:tcPr>
            <w:tcW w:w="2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60E22" w:rsidRPr="00560E22" w:rsidRDefault="00560E22">
            <w:pPr>
              <w:snapToGrid w:val="0"/>
              <w:spacing w:after="120" w:line="100" w:lineRule="atLeast"/>
              <w:rPr>
                <w:rFonts w:asciiTheme="majorHAnsi" w:hAnsiTheme="majorHAnsi" w:cs="Arial"/>
                <w:sz w:val="14"/>
                <w:szCs w:val="14"/>
              </w:rPr>
            </w:pPr>
          </w:p>
        </w:tc>
      </w:tr>
      <w:tr w:rsidR="00560E22" w:rsidRPr="00560E22" w:rsidTr="00560E22">
        <w:tc>
          <w:tcPr>
            <w:tcW w:w="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Quant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Denominação do emprego permanente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Natureza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Provimento Contratação/ extinção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Carga Horária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Quant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 xml:space="preserve">Denominação do emprego permanente 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proofErr w:type="spellStart"/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Ref</w:t>
            </w:r>
            <w:proofErr w:type="spellEnd"/>
          </w:p>
        </w:tc>
        <w:tc>
          <w:tcPr>
            <w:tcW w:w="50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Natureza</w:t>
            </w: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sz w:val="18"/>
                <w:szCs w:val="18"/>
              </w:rPr>
              <w:t>Provimento Contratação extinção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560E22">
              <w:rPr>
                <w:rFonts w:asciiTheme="majorHAnsi" w:hAnsiTheme="majorHAnsi" w:cs="Arial"/>
                <w:b/>
                <w:sz w:val="16"/>
                <w:szCs w:val="16"/>
              </w:rPr>
              <w:t>Carga Horária</w:t>
            </w:r>
          </w:p>
        </w:tc>
        <w:tc>
          <w:tcPr>
            <w:tcW w:w="13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60E22" w:rsidRPr="00560E22" w:rsidRDefault="00560E22">
            <w:pPr>
              <w:snapToGrid w:val="0"/>
              <w:spacing w:after="120" w:line="100" w:lineRule="atLeas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</w:p>
        </w:tc>
      </w:tr>
      <w:tr w:rsidR="00560E22" w:rsidRPr="00560E22" w:rsidTr="00560E22">
        <w:tc>
          <w:tcPr>
            <w:tcW w:w="71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3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Professor (a) de Educação Básica – PEB I - de Apoio </w:t>
            </w:r>
            <w:proofErr w:type="gramStart"/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Especializado  para</w:t>
            </w:r>
            <w:proofErr w:type="gramEnd"/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alunos autistas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QM 30)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Permanente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Concurso Público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30 h</w:t>
            </w:r>
          </w:p>
        </w:tc>
        <w:tc>
          <w:tcPr>
            <w:tcW w:w="709" w:type="dxa"/>
            <w:gridSpan w:val="2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Professor (a) de Educação Básica – PEB I - de Apoio </w:t>
            </w:r>
            <w:proofErr w:type="gramStart"/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Especializado  para</w:t>
            </w:r>
            <w:proofErr w:type="gramEnd"/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 alunos autistas</w:t>
            </w:r>
          </w:p>
        </w:tc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color w:val="000000"/>
                <w:sz w:val="18"/>
                <w:szCs w:val="18"/>
              </w:rPr>
              <w:t>QM 30)</w:t>
            </w:r>
          </w:p>
        </w:tc>
        <w:tc>
          <w:tcPr>
            <w:tcW w:w="506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Permanente</w:t>
            </w:r>
          </w:p>
        </w:tc>
        <w:tc>
          <w:tcPr>
            <w:tcW w:w="1053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hideMark/>
          </w:tcPr>
          <w:p w:rsidR="00560E22" w:rsidRPr="00560E22" w:rsidRDefault="00560E22">
            <w:pPr>
              <w:snapToGrid w:val="0"/>
              <w:spacing w:after="120" w:line="100" w:lineRule="atLeast"/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60E22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Concurso Público</w:t>
            </w:r>
          </w:p>
        </w:tc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60E22" w:rsidRPr="00560E22" w:rsidRDefault="00560E22">
            <w:pPr>
              <w:pStyle w:val="Contedodatabela"/>
              <w:snapToGrid w:val="0"/>
              <w:spacing w:after="120" w:line="100" w:lineRule="atLeast"/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560E2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30 h</w:t>
            </w:r>
          </w:p>
        </w:tc>
        <w:tc>
          <w:tcPr>
            <w:tcW w:w="133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560E22" w:rsidRPr="00560E22" w:rsidRDefault="00560E22">
            <w:pPr>
              <w:snapToGrid w:val="0"/>
              <w:spacing w:after="120" w:line="100" w:lineRule="atLeast"/>
              <w:rPr>
                <w:rFonts w:asciiTheme="majorHAnsi" w:hAnsiTheme="majorHAnsi" w:cs="Arial"/>
                <w:b/>
                <w:bCs/>
                <w:sz w:val="16"/>
                <w:szCs w:val="16"/>
              </w:rPr>
            </w:pPr>
          </w:p>
        </w:tc>
      </w:tr>
    </w:tbl>
    <w:p w:rsidR="00560E22" w:rsidRPr="00560E22" w:rsidRDefault="00560E22" w:rsidP="00560E22">
      <w:pPr>
        <w:autoSpaceDE w:val="0"/>
        <w:spacing w:line="100" w:lineRule="atLeast"/>
        <w:jc w:val="both"/>
        <w:rPr>
          <w:rFonts w:asciiTheme="majorHAnsi" w:eastAsia="DejaVu Sans" w:hAnsiTheme="majorHAnsi" w:cs="Arial"/>
          <w:b/>
          <w:sz w:val="26"/>
          <w:szCs w:val="26"/>
          <w:u w:val="single"/>
        </w:rPr>
      </w:pPr>
    </w:p>
    <w:p w:rsidR="00560E22" w:rsidRPr="00560E22" w:rsidRDefault="00560E22" w:rsidP="00560E22">
      <w:pPr>
        <w:autoSpaceDE w:val="0"/>
        <w:spacing w:line="100" w:lineRule="atLeast"/>
        <w:jc w:val="both"/>
        <w:rPr>
          <w:rFonts w:asciiTheme="majorHAnsi" w:hAnsiTheme="majorHAnsi" w:cs="Arial"/>
          <w:sz w:val="24"/>
          <w:szCs w:val="24"/>
        </w:rPr>
      </w:pPr>
      <w:r w:rsidRPr="00560E22">
        <w:rPr>
          <w:rFonts w:asciiTheme="majorHAnsi" w:hAnsiTheme="majorHAnsi" w:cs="Arial"/>
          <w:b/>
          <w:sz w:val="24"/>
          <w:szCs w:val="24"/>
          <w:u w:val="single"/>
        </w:rPr>
        <w:t>Art. 2°</w:t>
      </w:r>
      <w:r w:rsidRPr="00560E22">
        <w:rPr>
          <w:rFonts w:asciiTheme="majorHAnsi" w:hAnsiTheme="majorHAnsi" w:cs="Arial"/>
          <w:sz w:val="24"/>
          <w:szCs w:val="24"/>
        </w:rPr>
        <w:t xml:space="preserve"> - As despesas para execução desta Lei Complementar estão previstas no orçamento e serão suplementadas se necessário.</w:t>
      </w:r>
    </w:p>
    <w:p w:rsidR="00560E22" w:rsidRPr="00560E22" w:rsidRDefault="00560E22" w:rsidP="00560E22">
      <w:pPr>
        <w:autoSpaceDE w:val="0"/>
        <w:spacing w:line="100" w:lineRule="atLeast"/>
        <w:jc w:val="right"/>
        <w:rPr>
          <w:rFonts w:asciiTheme="majorHAnsi" w:hAnsiTheme="majorHAnsi" w:cs="Arial"/>
          <w:sz w:val="24"/>
          <w:szCs w:val="24"/>
        </w:rPr>
      </w:pPr>
    </w:p>
    <w:p w:rsidR="00560E22" w:rsidRPr="00560E22" w:rsidRDefault="00560E22" w:rsidP="00560E22">
      <w:pPr>
        <w:autoSpaceDE w:val="0"/>
        <w:spacing w:line="100" w:lineRule="atLeast"/>
        <w:jc w:val="both"/>
        <w:rPr>
          <w:rFonts w:asciiTheme="majorHAnsi" w:hAnsiTheme="majorHAnsi" w:cs="Arial"/>
          <w:sz w:val="24"/>
          <w:szCs w:val="24"/>
        </w:rPr>
      </w:pPr>
      <w:r w:rsidRPr="00560E22">
        <w:rPr>
          <w:rFonts w:asciiTheme="majorHAnsi" w:hAnsiTheme="majorHAnsi" w:cs="Arial"/>
          <w:b/>
          <w:sz w:val="24"/>
          <w:szCs w:val="24"/>
          <w:u w:val="single"/>
        </w:rPr>
        <w:t>Art. 3°</w:t>
      </w:r>
      <w:r w:rsidRPr="00560E22">
        <w:rPr>
          <w:rFonts w:asciiTheme="majorHAnsi" w:hAnsiTheme="majorHAnsi" w:cs="Arial"/>
          <w:b/>
          <w:sz w:val="24"/>
          <w:szCs w:val="24"/>
        </w:rPr>
        <w:t xml:space="preserve"> - </w:t>
      </w:r>
      <w:r w:rsidRPr="00560E22">
        <w:rPr>
          <w:rFonts w:asciiTheme="majorHAnsi" w:hAnsiTheme="majorHAnsi" w:cs="Arial"/>
          <w:sz w:val="24"/>
          <w:szCs w:val="24"/>
        </w:rPr>
        <w:t>Esta Lei Complementar entra em vigor na data de sua publicação, revogadas as disposições em contrário</w:t>
      </w:r>
      <w:r w:rsidRPr="00560E22">
        <w:rPr>
          <w:rFonts w:asciiTheme="majorHAnsi" w:hAnsiTheme="majorHAnsi" w:cs="Arial"/>
          <w:color w:val="000000" w:themeColor="text1"/>
          <w:sz w:val="24"/>
          <w:szCs w:val="24"/>
        </w:rPr>
        <w:t>.”</w:t>
      </w:r>
    </w:p>
    <w:p w:rsidR="00560E22" w:rsidRPr="00560E22" w:rsidRDefault="00560E22" w:rsidP="00560E22">
      <w:pPr>
        <w:jc w:val="center"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560E22" w:rsidRPr="00560E22" w:rsidRDefault="00560E22" w:rsidP="00560E22">
      <w:pPr>
        <w:jc w:val="center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color w:val="000000" w:themeColor="text1"/>
          <w:sz w:val="24"/>
          <w:szCs w:val="24"/>
        </w:rPr>
        <w:t xml:space="preserve">Câmara Municipal de Cordeirópolis, </w:t>
      </w:r>
      <w:r w:rsidRPr="00560E22">
        <w:rPr>
          <w:rFonts w:asciiTheme="majorHAnsi" w:hAnsiTheme="majorHAnsi" w:cs="Arial"/>
          <w:color w:val="000000" w:themeColor="text1"/>
          <w:sz w:val="24"/>
          <w:szCs w:val="24"/>
        </w:rPr>
        <w:t>5</w:t>
      </w:r>
      <w:r w:rsidRPr="00560E22">
        <w:rPr>
          <w:rFonts w:asciiTheme="majorHAnsi" w:hAnsiTheme="majorHAnsi" w:cs="Arial"/>
          <w:color w:val="000000" w:themeColor="text1"/>
          <w:sz w:val="24"/>
          <w:szCs w:val="24"/>
        </w:rPr>
        <w:t xml:space="preserve"> de </w:t>
      </w:r>
      <w:r w:rsidRPr="00560E22">
        <w:rPr>
          <w:rFonts w:asciiTheme="majorHAnsi" w:hAnsiTheme="majorHAnsi" w:cs="Arial"/>
          <w:color w:val="000000" w:themeColor="text1"/>
          <w:sz w:val="24"/>
          <w:szCs w:val="24"/>
        </w:rPr>
        <w:t xml:space="preserve">junho </w:t>
      </w:r>
      <w:r w:rsidRPr="00560E22">
        <w:rPr>
          <w:rFonts w:asciiTheme="majorHAnsi" w:hAnsiTheme="majorHAnsi" w:cs="Arial"/>
          <w:color w:val="000000" w:themeColor="text1"/>
          <w:sz w:val="24"/>
          <w:szCs w:val="24"/>
        </w:rPr>
        <w:t xml:space="preserve">de 2024. </w:t>
      </w:r>
    </w:p>
    <w:p w:rsidR="00560E22" w:rsidRDefault="00560E22" w:rsidP="00560E22">
      <w:pPr>
        <w:jc w:val="center"/>
        <w:rPr>
          <w:rFonts w:asciiTheme="majorHAnsi" w:hAnsiTheme="majorHAnsi" w:cs="Arial"/>
          <w:color w:val="000000" w:themeColor="text1"/>
          <w:sz w:val="24"/>
          <w:szCs w:val="24"/>
        </w:rPr>
      </w:pPr>
    </w:p>
    <w:p w:rsid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Neusa Aparecida Damélio Marcelino de Moraes</w:t>
      </w:r>
    </w:p>
    <w:p w:rsidR="00560E22" w:rsidRPr="00560E22" w:rsidRDefault="00560E22" w:rsidP="00560E22">
      <w:pPr>
        <w:jc w:val="center"/>
        <w:rPr>
          <w:sz w:val="24"/>
          <w:szCs w:val="24"/>
        </w:rPr>
      </w:pPr>
      <w:r w:rsidRPr="00560E22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 xml:space="preserve">Presidente </w:t>
      </w: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Silvana Gonçalves Martins Baio</w:t>
      </w: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Membro</w:t>
      </w: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 xml:space="preserve">Carlos Aparecido Barbosa </w:t>
      </w:r>
    </w:p>
    <w:p w:rsidR="00560E22" w:rsidRPr="00560E22" w:rsidRDefault="00560E22" w:rsidP="00560E22">
      <w:pPr>
        <w:jc w:val="center"/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</w:pPr>
      <w:r w:rsidRPr="00560E22">
        <w:rPr>
          <w:rFonts w:asciiTheme="majorHAnsi" w:hAnsiTheme="majorHAnsi" w:cs="Arial"/>
          <w:b/>
          <w:bCs/>
          <w:color w:val="000000" w:themeColor="text1"/>
          <w:sz w:val="24"/>
          <w:szCs w:val="24"/>
        </w:rPr>
        <w:t>Membro</w:t>
      </w:r>
      <w:bookmarkStart w:id="0" w:name="_GoBack"/>
      <w:bookmarkEnd w:id="0"/>
    </w:p>
    <w:sectPr w:rsidR="00560E22" w:rsidRPr="00560E22" w:rsidSect="00560E22">
      <w:headerReference w:type="default" r:id="rId6"/>
      <w:footerReference w:type="default" r:id="rId7"/>
      <w:pgSz w:w="11906" w:h="16838" w:code="9"/>
      <w:pgMar w:top="1701" w:right="102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F3106" w:rsidRDefault="00FF3106">
      <w:r>
        <w:separator/>
      </w:r>
    </w:p>
  </w:endnote>
  <w:endnote w:type="continuationSeparator" w:id="0">
    <w:p w:rsidR="00FF3106" w:rsidRDefault="00FF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  <w:font w:name="DejaVu Sans">
    <w:altName w:val="Sylfaen"/>
    <w:charset w:val="00"/>
    <w:family w:val="swiss"/>
    <w:pitch w:val="variable"/>
    <w:sig w:usb0="E7000EFF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0E22" w:rsidRDefault="00560E22">
    <w:pPr>
      <w:pStyle w:val="Rodap"/>
    </w:pPr>
    <w:r w:rsidRPr="00560E22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0FE973D6" wp14:editId="0A0D803C">
          <wp:extent cx="5848350" cy="1905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F3106" w:rsidRDefault="00FF3106">
      <w:r>
        <w:separator/>
      </w:r>
    </w:p>
  </w:footnote>
  <w:footnote w:type="continuationSeparator" w:id="0">
    <w:p w:rsidR="00FF3106" w:rsidRDefault="00FF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35624" w:rsidRDefault="00560E22">
    <w:r w:rsidRPr="006B0BEE">
      <w:rPr>
        <w:noProof/>
      </w:rPr>
      <w:drawing>
        <wp:inline distT="0" distB="0" distL="0" distR="0" wp14:anchorId="6169C42B" wp14:editId="31979830">
          <wp:extent cx="6191885" cy="95524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885" cy="9552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F3106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560E22"/>
    <w:rsid w:val="00935624"/>
    <w:rsid w:val="00A906D8"/>
    <w:rsid w:val="00AB5A74"/>
    <w:rsid w:val="00F071AE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FF5F"/>
  <w15:docId w15:val="{B8486AB6-B46C-43B1-B51F-BDF9AF7C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rsid w:val="00560E22"/>
    <w:pPr>
      <w:widowControl w:val="0"/>
      <w:suppressLineNumbers/>
      <w:suppressAutoHyphens/>
    </w:pPr>
    <w:rPr>
      <w:rFonts w:ascii="DejaVu Serif" w:eastAsia="DejaVu Sans" w:hAnsi="DejaVu Serif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0E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E22"/>
  </w:style>
  <w:style w:type="paragraph" w:styleId="Rodap">
    <w:name w:val="footer"/>
    <w:basedOn w:val="Normal"/>
    <w:link w:val="RodapChar"/>
    <w:uiPriority w:val="99"/>
    <w:unhideWhenUsed/>
    <w:rsid w:val="00560E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Tamiazo</cp:lastModifiedBy>
  <cp:revision>1</cp:revision>
  <dcterms:created xsi:type="dcterms:W3CDTF">2024-06-05T15:02:00Z</dcterms:created>
  <dcterms:modified xsi:type="dcterms:W3CDTF">2024-06-05T15:09:00Z</dcterms:modified>
</cp:coreProperties>
</file>